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A11D5F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11D5F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Tekst - Standardtekster ved MN-</w:t>
            </w:r>
            <w:proofErr w:type="spellStart"/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fak</w:t>
            </w:r>
            <w:proofErr w:type="spellEnd"/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 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MOL300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A11D5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Praktisk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biokjemi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molekylærbiologi</w:t>
            </w:r>
            <w:proofErr w:type="spellEnd"/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Praktisk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biokjemi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molekylærbiologi</w:t>
            </w:r>
            <w:proofErr w:type="spellEnd"/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Practical Biochemistry and Molecular Biology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A6AEB" w:rsidRPr="00A11D5F" w:rsidRDefault="00FA6AEB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FA6AE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Master/</w:t>
            </w:r>
            <w:proofErr w:type="spellStart"/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ph.d</w:t>
            </w:r>
            <w:proofErr w:type="spellEnd"/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FA6AEB" w:rsidRPr="00A11D5F" w:rsidTr="00FA6AEB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A11D5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A11D5F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FA6AEB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  <w:p w:rsidR="00FA6AEB" w:rsidRPr="00A11D5F" w:rsidRDefault="00FA6AEB" w:rsidP="00FA6AEB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A11D5F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Engelsk [English]</w:t>
            </w:r>
          </w:p>
          <w:p w:rsidR="00FA6AEB" w:rsidRPr="00A11D5F" w:rsidRDefault="00FA6AEB" w:rsidP="00FA6AEB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FA6AEB" w:rsidRPr="00A11D5F" w:rsidRDefault="00FA6AEB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A11D5F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FA6AE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Mål og innhald</w:t>
            </w:r>
          </w:p>
          <w:p w:rsidR="00FA6AEB" w:rsidRPr="00A11D5F" w:rsidRDefault="00FA6AEB" w:rsidP="00FA6AE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Hovudmålet er for å gje studentane direkte erfaringar i modernemetodar i biokjemi og molekylærbiologi. Emnet inneheld oppgåver innan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spektrofotometri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enzymkinetikk, forskjellige separasjonsteknikkar og analyse av biologiske makromolekyl, </w:t>
            </w: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modernemetodar i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genteknologi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(kloning, protein uttrykk, PCR og sette-retta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mutagenese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), in situ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hybridisering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immunologiske påvisingsteknikkar, celledyrking og protein interaksjon.</w:t>
            </w:r>
          </w:p>
          <w:p w:rsidR="00FA6AEB" w:rsidRPr="00A11D5F" w:rsidRDefault="00FA6AEB" w:rsidP="00FA6AE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Journalføring, rapport skriving og mini-symposia skal gje studentane kunnskap og erfaringar i data samling og analyse. Dette er naudsynt for å at studentane skal forstå dei teoretiske opplysingane bak praktiske øvingar, og grundig diskusjon blir integrert del av kurset.</w:t>
            </w:r>
          </w:p>
          <w:p w:rsidR="00FA6AEB" w:rsidRPr="00A11D5F" w:rsidRDefault="00FA6AEB" w:rsidP="00FA6AE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blir også lagt vekt på tryggleiksaspekt ved laboratoriearbeid.</w:t>
            </w:r>
          </w:p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[Objectives and Content</w:t>
            </w:r>
          </w:p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The course is experiment-oriented and includes selected basic methods in physical biochemistry, biochemical analysis and separation methods, gene technology, immunology and microscopy. The course includes exercises in spectrophotometry, chromatography, enzymology, electrophoresis, </w:t>
            </w:r>
            <w:proofErr w:type="gramStart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isolation</w:t>
            </w:r>
            <w:proofErr w:type="gramEnd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of biological macromolecules, in situ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hybridisation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, immunological detection methods and other important methods in gene technology. Work with different biological systems will be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emphasised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Organisation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of the laboratory work and combining use of different methods for analysis of specific issues will be important. Safety in the laboratory environment and journal writing will also be covered. </w:t>
            </w:r>
            <w:hyperlink r:id="rId9" w:history="1">
              <w:r w:rsidRPr="00A11D5F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"/>
                </w:rPr>
                <w:t>MOL300</w:t>
              </w:r>
            </w:hyperlink>
            <w:r w:rsidRPr="00A11D5F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is compulsory for the Master's Programme in Molecular Biology.]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A11D5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A11D5F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5F" w:rsidRPr="00A11D5F" w:rsidRDefault="00A11D5F" w:rsidP="00A11D5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Kunnskapar</w:t>
            </w:r>
          </w:p>
          <w:p w:rsidR="00A11D5F" w:rsidRPr="00A11D5F" w:rsidRDefault="00A11D5F" w:rsidP="00A11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20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forklare teoriane bak både basale og nokre avanserte metodar i biokjemi og molekylærbiologi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20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fordelar og ulemper med dei viktigaste metodane i </w:t>
            </w: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biokjemi og molekylærbiologi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20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arbeide med DNA, RNA og protein 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20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Kjenner relevante reglar  for tryggleik i laboratoriet både for personale og miljø</w:t>
            </w:r>
          </w:p>
          <w:p w:rsidR="00A11D5F" w:rsidRPr="00A11D5F" w:rsidRDefault="00A11D5F" w:rsidP="00A11D5F">
            <w:pPr>
              <w:spacing w:line="360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  <w:p w:rsidR="00A11D5F" w:rsidRPr="00A11D5F" w:rsidRDefault="00A11D5F" w:rsidP="00A11D5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Ferdigheiter</w:t>
            </w:r>
          </w:p>
          <w:p w:rsidR="00A11D5F" w:rsidRPr="00A11D5F" w:rsidRDefault="00A11D5F" w:rsidP="00A11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19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nytte eit breitt utval av både basale og nokre avanserte metodar i biokjemi og molekylærbiologi (medrekna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kromatografi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elektroforese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spektroskopi, enzymkinetikk, molekylær kloning, cellekulturar og mikroskopi)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19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undersøke, evaluere, tolke og kommunisere data frå biokjemiske og molekylærbiologiske e</w:t>
            </w:r>
            <w:bookmarkStart w:id="0" w:name="_GoBack"/>
            <w:bookmarkEnd w:id="0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ksperiment 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19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føre ein detaljert og nøyaktig laboratoriejournal</w:t>
            </w:r>
          </w:p>
          <w:p w:rsidR="00A11D5F" w:rsidRPr="00A11D5F" w:rsidRDefault="00A11D5F" w:rsidP="00A11D5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  <w:p w:rsidR="00A11D5F" w:rsidRPr="00A11D5F" w:rsidRDefault="00A11D5F" w:rsidP="00A11D5F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Generell kompetanse</w:t>
            </w:r>
          </w:p>
          <w:p w:rsidR="00A11D5F" w:rsidRPr="00A11D5F" w:rsidRDefault="00A11D5F" w:rsidP="00A11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A11D5F" w:rsidRPr="00A11D5F" w:rsidRDefault="00A11D5F" w:rsidP="00A11D5F">
            <w:pPr>
              <w:pStyle w:val="Listeavsnitt"/>
              <w:widowControl/>
              <w:numPr>
                <w:ilvl w:val="0"/>
                <w:numId w:val="18"/>
              </w:numPr>
              <w:spacing w:after="0" w:line="36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gjere eksperimentelt arbeid knytt til biokjemi og molekylærbiologi utan detaljert instruksjon og rettleiing </w:t>
            </w:r>
          </w:p>
          <w:p w:rsidR="00FA6AEB" w:rsidRPr="00A11D5F" w:rsidRDefault="00FA6AEB" w:rsidP="00A11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lastRenderedPageBreak/>
              <w:t>[Knowledge:</w:t>
            </w: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The student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1"/>
                <w:numId w:val="15"/>
              </w:numPr>
              <w:spacing w:after="0" w:line="360" w:lineRule="auto"/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can explain the theories underlying both basic and some advanced methods in biochemistry and molecular biology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1"/>
                <w:numId w:val="15"/>
              </w:numPr>
              <w:spacing w:after="0" w:line="360" w:lineRule="auto"/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can explain advantages and disadvantages of the most important methods in biochemistry and molecular biology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1"/>
                <w:numId w:val="15"/>
              </w:numPr>
              <w:spacing w:after="0" w:line="360" w:lineRule="auto"/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can work with DNA, RNA and proteins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1"/>
                <w:numId w:val="15"/>
              </w:numPr>
              <w:spacing w:after="0" w:line="360" w:lineRule="auto"/>
              <w:ind w:left="73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gram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familiar with the appropriate laboratory safety regulations both with regard to personal and environmental aspects.</w:t>
            </w: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Skills:</w:t>
            </w: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The student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1"/>
                <w:numId w:val="16"/>
              </w:numPr>
              <w:spacing w:after="0" w:line="360" w:lineRule="auto"/>
              <w:ind w:left="710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can use a broad range of both basic and some advanced methods in biochemistry and molecular biology (including chromatography, electrophoresis, spectroscopy, enzyme kinetics, molecular cloning, cell culture work and microscopy)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1"/>
                <w:numId w:val="16"/>
              </w:numPr>
              <w:spacing w:after="0" w:line="360" w:lineRule="auto"/>
              <w:ind w:left="710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can examine, assess,  interpret and communicate data acquired from laboratory experiments related to biochemistry and molecular biology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1"/>
                <w:numId w:val="16"/>
              </w:numPr>
              <w:spacing w:after="0" w:line="360" w:lineRule="auto"/>
              <w:ind w:left="710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can keep a detailed and accurate laboratory journal</w:t>
            </w:r>
          </w:p>
          <w:p w:rsidR="00FA6AEB" w:rsidRPr="00A11D5F" w:rsidRDefault="00FA6AEB" w:rsidP="00FA6A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6AEB" w:rsidRPr="00A11D5F" w:rsidRDefault="00FA6AEB" w:rsidP="00FA6A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General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competence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:</w:t>
            </w:r>
          </w:p>
          <w:p w:rsidR="00FA6AEB" w:rsidRPr="00A11D5F" w:rsidRDefault="00FA6AEB" w:rsidP="00FA6AEB">
            <w:pPr>
              <w:spacing w:line="360" w:lineRule="auto"/>
              <w:ind w:firstLine="708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The student</w:t>
            </w:r>
          </w:p>
          <w:p w:rsidR="00FA6AEB" w:rsidRPr="00A11D5F" w:rsidRDefault="00FA6AEB" w:rsidP="00FA6AEB">
            <w:pPr>
              <w:pStyle w:val="Listeavsnitt"/>
              <w:widowControl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can</w:t>
            </w:r>
            <w:proofErr w:type="gram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do experimental work related to biochemistry and molecular biology without detailed instruction and supervision.]</w:t>
            </w:r>
          </w:p>
          <w:p w:rsidR="00FA6AEB" w:rsidRPr="00A11D5F" w:rsidRDefault="00FA6AEB" w:rsidP="00FA6AEB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FA6AEB">
            <w:pPr>
              <w:pStyle w:val="BODY"/>
              <w:widowControl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Bachelorgrad eller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tilsvarande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omfang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molekylærbiologisk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kunnskap. Det er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eit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krav for opptak til emnet </w:t>
            </w:r>
            <w:proofErr w:type="gram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å</w:t>
            </w:r>
            <w:proofErr w:type="gram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 du er tatt opp til masterprogram/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ph.d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.-utdanning ved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Molekylærbiologisk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institutt.</w:t>
            </w:r>
          </w:p>
          <w:p w:rsidR="00FA6AEB" w:rsidRPr="00A11D5F" w:rsidRDefault="00FA6AEB" w:rsidP="00FA6AEB">
            <w:pPr>
              <w:pStyle w:val="BODY"/>
              <w:widowControl w:val="0"/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A6AEB" w:rsidRPr="00A11D5F" w:rsidRDefault="00FA6AEB" w:rsidP="00FA6AEB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[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Bachelor's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degree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equivalent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including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knowledge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molecular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biology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The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course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compulsory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 master students in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molecular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biology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The students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enrolled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MSc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program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molecular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automatically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. All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first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molecular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  <w:p w:rsidR="00FA6AEB" w:rsidRPr="00A11D5F" w:rsidRDefault="00FA6AEB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FA6AEB">
            <w:pPr>
              <w:autoSpaceDE w:val="0"/>
              <w:autoSpaceDN w:val="0"/>
              <w:adjustRightInd w:val="0"/>
              <w:spacing w:before="134" w:after="134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</w:pPr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Bachelorgrad eller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tilsvarande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omfang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>molekylærbiologisk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  <w:lang w:val="nb-NO" w:eastAsia="nb-NO"/>
              </w:rPr>
              <w:t xml:space="preserve"> kunnskap.</w:t>
            </w:r>
          </w:p>
          <w:p w:rsidR="00FA6AEB" w:rsidRPr="00A11D5F" w:rsidRDefault="00FA6AEB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6AEB" w:rsidRPr="00A11D5F" w:rsidRDefault="00FA6AEB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6AEB" w:rsidRPr="00A11D5F" w:rsidRDefault="00FA6AEB" w:rsidP="00FA6AEB">
            <w:pPr>
              <w:pStyle w:val="Normal0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Bachelor's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equivalent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molecular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.]</w:t>
            </w:r>
          </w:p>
          <w:p w:rsidR="00FA6AEB" w:rsidRPr="00A11D5F" w:rsidRDefault="00FA6AEB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FA6AEB" w:rsidRPr="00A11D5F" w:rsidRDefault="00FA6AEB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FA6AEB" w:rsidRPr="00A11D5F" w:rsidRDefault="00FA6AEB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FA6AEB" w:rsidRPr="00A11D5F" w:rsidRDefault="00FA6AEB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FA6AEB" w:rsidRPr="00A11D5F" w:rsidRDefault="00FA6AEB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r w:rsidRPr="00A11D5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11D5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"http://www.uib.no/matnat/52646/opptak-ved-mn-fakultetet" </w:instrText>
            </w:r>
            <w:r w:rsidRPr="00A11D5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1D5F">
              <w:rPr>
                <w:rStyle w:val="Hyperkobling"/>
                <w:rFonts w:asciiTheme="minorHAnsi" w:hAnsiTheme="minorHAnsi" w:cstheme="minorHAnsi"/>
                <w:sz w:val="20"/>
                <w:szCs w:val="20"/>
              </w:rPr>
              <w:t>http://www.uib.no/matnat/52646/opptak-ved-mn-fakultetet</w:t>
            </w:r>
            <w:r w:rsidRPr="00A11D5F">
              <w:rPr>
                <w:rStyle w:val="Hyperkobling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6AEB" w:rsidRPr="00A11D5F" w:rsidRDefault="00FA6AEB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FA6AEB" w:rsidRPr="00A11D5F" w:rsidRDefault="00FA6AEB" w:rsidP="0062257B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FA6AEB" w:rsidRPr="00A11D5F" w:rsidRDefault="00FA6AEB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FA6AEB" w:rsidRPr="00A11D5F" w:rsidTr="00FA6AEB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undervisningsformer</w:t>
            </w:r>
            <w:proofErr w:type="spellEnd"/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B_ARBUND</w:t>
            </w:r>
          </w:p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lastRenderedPageBreak/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FA6AEB" w:rsidRPr="00A11D5F" w:rsidTr="00FA6AEB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FA6AEB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Førelesingar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, laboratoriekurs m/journal og rapport. Alle aktiviteter i kurset, inkludert det første orienteringsmøtet, er obligatorisk å delta på. </w:t>
            </w:r>
          </w:p>
          <w:p w:rsidR="00FA6AEB" w:rsidRPr="00A11D5F" w:rsidRDefault="00FA6AEB" w:rsidP="00FA6AEB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6AEB" w:rsidRPr="00A11D5F" w:rsidRDefault="00FA6AEB" w:rsidP="00FA6AEB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laboratory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, journal and report. The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attendance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participation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in all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</w:p>
          <w:p w:rsidR="00FA6AEB" w:rsidRPr="00A11D5F" w:rsidRDefault="00FA6AEB" w:rsidP="00FA6AEB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meeting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compulsory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.]</w:t>
            </w:r>
            <w:proofErr w:type="gramEnd"/>
          </w:p>
          <w:p w:rsidR="00FA6AEB" w:rsidRPr="00A11D5F" w:rsidRDefault="00FA6AEB" w:rsidP="00FA6AEB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A6AEB" w:rsidRPr="00A11D5F" w:rsidRDefault="00FA6AEB" w:rsidP="00FA6AEB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FA6AEB">
            <w:pPr>
              <w:pStyle w:val="BODY"/>
              <w:widowControl w:val="0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Laboratoriejournal og rapport (</w:t>
            </w:r>
            <w:proofErr w:type="gram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30%</w:t>
            </w:r>
            <w:proofErr w:type="gram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og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skriftleg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eksamen, 5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timar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(70%). </w:t>
            </w:r>
          </w:p>
          <w:p w:rsidR="00FA6AEB" w:rsidRPr="00A11D5F" w:rsidRDefault="00FA6AEB" w:rsidP="00FA6AEB">
            <w:pPr>
              <w:pStyle w:val="BODY"/>
              <w:widowControl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6AEB" w:rsidRPr="00A11D5F" w:rsidRDefault="00FA6AEB" w:rsidP="00FA6AEB">
            <w:pPr>
              <w:pStyle w:val="BODY"/>
              <w:widowControl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Approved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lab-journal and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written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report (30 %).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Written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exam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hours</w:t>
            </w:r>
            <w:proofErr w:type="spellEnd"/>
            <w:r w:rsidRPr="00A11D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(70 %). ]</w:t>
            </w:r>
          </w:p>
          <w:p w:rsidR="00FA6AEB" w:rsidRPr="00A11D5F" w:rsidRDefault="00FA6AEB" w:rsidP="00FA6AEB">
            <w:pPr>
              <w:pStyle w:val="BODY"/>
              <w:widowControl w:val="0"/>
              <w:spacing w:before="0" w:after="200"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A6AEB" w:rsidRPr="00A11D5F" w:rsidTr="00FA6AEB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FA6AEB" w:rsidRPr="00A11D5F" w:rsidTr="00425D71">
              <w:trPr>
                <w:trHeight w:val="2897"/>
              </w:trPr>
              <w:tc>
                <w:tcPr>
                  <w:tcW w:w="5946" w:type="dxa"/>
                </w:tcPr>
                <w:p w:rsidR="00834C0A" w:rsidRPr="00A11D5F" w:rsidRDefault="00834C0A" w:rsidP="00834C0A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  <w:r w:rsidRPr="00A11D5F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  <w:t xml:space="preserve">Enkel kalkulator tillatt, i samsvar med modeller angitt i fakultetets regler </w:t>
                  </w:r>
                </w:p>
                <w:p w:rsidR="00834C0A" w:rsidRPr="00A11D5F" w:rsidRDefault="00834C0A" w:rsidP="00834C0A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  <w:p w:rsidR="00834C0A" w:rsidRPr="00A11D5F" w:rsidRDefault="00834C0A" w:rsidP="00834C0A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11D5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[Non-programmable calculator, according to the faculty regulations]</w:t>
                  </w:r>
                </w:p>
                <w:p w:rsidR="00FA6AEB" w:rsidRPr="00A11D5F" w:rsidRDefault="00FA6AEB" w:rsidP="00834C0A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:rsidR="00FA6AEB" w:rsidRPr="00A11D5F" w:rsidRDefault="00FA6AEB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A11D5F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A11D5F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 xml:space="preserve">The grading scale used is A to F. Grade A is the highest passing grade in the grading scale, grade F </w:t>
            </w:r>
            <w:r w:rsidRPr="00A11D5F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lastRenderedPageBreak/>
              <w:t>is a fail.]</w:t>
            </w:r>
          </w:p>
          <w:p w:rsidR="00FA6AEB" w:rsidRPr="00A11D5F" w:rsidRDefault="00FA6AEB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Vurderingssemester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A6AEB" w:rsidRPr="00A11D5F" w:rsidRDefault="00FA6AEB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theme="minorHAnsi"/>
                <w:sz w:val="20"/>
                <w:szCs w:val="20"/>
                <w:lang w:eastAsia="nb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[Examination both spring semester and autumn semester. In semesters without teaching the examination will be arranged at the beginning of the semester.]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A6AEB" w:rsidRPr="00A11D5F" w:rsidRDefault="00FA6AEB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</w:rPr>
              <w:t>[The reading list will be available within June 1st for the autumn semester and January 1st for the spring semester]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A11D5F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A11D5F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A11D5F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11D5F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A11D5F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FA6AEB" w:rsidRPr="00A11D5F" w:rsidRDefault="00FA6AEB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A11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A11D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A6AEB" w:rsidRPr="00A11D5F" w:rsidRDefault="00FA6AEB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1D5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FA6AEB" w:rsidRPr="00A11D5F" w:rsidRDefault="00FA6AEB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834C0A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="00834C0A" w:rsidRPr="00A11D5F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FA6AEB" w:rsidRPr="00A11D5F" w:rsidTr="00FA6AEB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A11D5F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A11D5F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A11D5F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A11D5F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A11D5F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A11D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FA6AEB" w:rsidRPr="00A11D5F" w:rsidRDefault="00FA6AEB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A11D5F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EB" w:rsidRPr="00A11D5F" w:rsidRDefault="00FA6AEB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FA6AEB" w:rsidRPr="00A11D5F" w:rsidRDefault="00FA6AEB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11D5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="00834C0A" w:rsidRPr="00A11D5F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FA6AEB" w:rsidRPr="00A11D5F" w:rsidRDefault="00FA6AEB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11D5F" w:rsidRDefault="00AF51C8" w:rsidP="00AF51C8">
      <w:pPr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sz w:val="20"/>
          <w:szCs w:val="20"/>
          <w:lang w:val="nn-NO"/>
        </w:rPr>
        <w:lastRenderedPageBreak/>
        <w:t xml:space="preserve">Emnebeskriving for </w:t>
      </w:r>
      <w:r w:rsidR="00834C0A" w:rsidRPr="00A11D5F">
        <w:rPr>
          <w:rFonts w:asciiTheme="minorHAnsi" w:hAnsiTheme="minorHAnsi" w:cstheme="minorHAnsi"/>
          <w:sz w:val="20"/>
          <w:szCs w:val="20"/>
          <w:lang w:val="nn-NO"/>
        </w:rPr>
        <w:tab/>
        <w:t xml:space="preserve">MOL300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Praktisk</w:t>
      </w:r>
      <w:proofErr w:type="spellEnd"/>
      <w:r w:rsidR="00834C0A" w:rsidRPr="00A11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biokjemi</w:t>
      </w:r>
      <w:proofErr w:type="spellEnd"/>
      <w:r w:rsidR="00834C0A" w:rsidRPr="00A11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og</w:t>
      </w:r>
      <w:proofErr w:type="spellEnd"/>
      <w:r w:rsidR="00834C0A" w:rsidRPr="00A11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molekylærbiologi</w:t>
      </w:r>
      <w:proofErr w:type="spellEnd"/>
    </w:p>
    <w:p w:rsidR="003F6242" w:rsidRPr="00A11D5F" w:rsidRDefault="003F6242" w:rsidP="00EF7272">
      <w:pPr>
        <w:widowControl/>
        <w:rPr>
          <w:rFonts w:asciiTheme="minorHAnsi" w:hAnsiTheme="minorHAnsi" w:cstheme="minorHAnsi"/>
          <w:sz w:val="20"/>
          <w:szCs w:val="20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="00834C0A" w:rsidRPr="00A11D5F">
        <w:rPr>
          <w:rFonts w:asciiTheme="minorHAnsi" w:hAnsiTheme="minorHAnsi" w:cstheme="minorHAnsi"/>
          <w:i/>
          <w:sz w:val="20"/>
          <w:szCs w:val="20"/>
          <w:lang w:val="nn-NO"/>
        </w:rPr>
        <w:tab/>
        <w:t xml:space="preserve">MOL300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Praktisk</w:t>
      </w:r>
      <w:proofErr w:type="spellEnd"/>
      <w:r w:rsidR="00834C0A" w:rsidRPr="00A11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biokjemi</w:t>
      </w:r>
      <w:proofErr w:type="spellEnd"/>
      <w:r w:rsidR="00834C0A" w:rsidRPr="00A11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og</w:t>
      </w:r>
      <w:proofErr w:type="spellEnd"/>
      <w:r w:rsidR="00834C0A" w:rsidRPr="00A11D5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34C0A" w:rsidRPr="00A11D5F">
        <w:rPr>
          <w:rFonts w:asciiTheme="minorHAnsi" w:hAnsiTheme="minorHAnsi" w:cstheme="minorHAnsi"/>
          <w:sz w:val="20"/>
          <w:szCs w:val="20"/>
        </w:rPr>
        <w:t>molekylærbiologi</w:t>
      </w:r>
      <w:proofErr w:type="spellEnd"/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</w:rPr>
      </w:pPr>
      <w:r w:rsidRPr="00A11D5F">
        <w:rPr>
          <w:rFonts w:asciiTheme="minorHAnsi" w:hAnsiTheme="minorHAnsi" w:cstheme="minorHAnsi"/>
          <w:sz w:val="20"/>
          <w:szCs w:val="20"/>
        </w:rPr>
        <w:tab/>
      </w:r>
      <w:r w:rsidRPr="00A11D5F">
        <w:rPr>
          <w:rFonts w:asciiTheme="minorHAnsi" w:hAnsiTheme="minorHAnsi" w:cstheme="minorHAnsi"/>
          <w:sz w:val="20"/>
          <w:szCs w:val="20"/>
        </w:rPr>
        <w:tab/>
      </w:r>
      <w:r w:rsidRPr="00A11D5F">
        <w:rPr>
          <w:rFonts w:asciiTheme="minorHAnsi" w:hAnsiTheme="minorHAnsi" w:cstheme="minorHAnsi"/>
          <w:sz w:val="20"/>
          <w:szCs w:val="20"/>
        </w:rPr>
        <w:tab/>
      </w:r>
      <w:r w:rsidR="00834C0A" w:rsidRPr="00A11D5F">
        <w:rPr>
          <w:rFonts w:asciiTheme="minorHAnsi" w:hAnsiTheme="minorHAnsi" w:cstheme="minorHAnsi"/>
          <w:sz w:val="20"/>
          <w:szCs w:val="20"/>
        </w:rPr>
        <w:tab/>
        <w:t xml:space="preserve">MOL300 </w:t>
      </w:r>
      <w:r w:rsidR="00834C0A" w:rsidRPr="00A11D5F">
        <w:rPr>
          <w:rFonts w:asciiTheme="minorHAnsi" w:hAnsiTheme="minorHAnsi" w:cstheme="minorHAnsi"/>
          <w:sz w:val="20"/>
          <w:szCs w:val="20"/>
          <w:lang w:val="en"/>
        </w:rPr>
        <w:t>Practical Biochemistry and Molecular Biology</w:t>
      </w: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Godkjenning:</w:t>
      </w: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Emnebeskrivinga er godkjend av (Fakultetet brukar nemningar for godkjenningsorgan i samsvar med eigen praksis.):</w:t>
      </w: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A11D5F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Programstyret:  …………………………………….(</w:t>
      </w:r>
      <w:proofErr w:type="spellStart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A11D5F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A11D5F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Institutt for …………….. :     .………………………(</w:t>
      </w:r>
      <w:proofErr w:type="spellStart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A11D5F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………… fakultet: …………………………………….(</w:t>
      </w:r>
      <w:proofErr w:type="spellStart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A11D5F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 xml:space="preserve">Emnebeskrivinga vart justert:  </w:t>
      </w: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ab/>
        <w:t>…………………………………….(</w:t>
      </w:r>
      <w:proofErr w:type="spellStart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) av ……………………………………………………………….</w:t>
      </w: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Evaluering:</w:t>
      </w: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Emnet vart sist evaluert: …………………………………….(</w:t>
      </w:r>
      <w:proofErr w:type="spellStart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A11D5F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Neste planlagde evaluering:     …………………………………….(</w:t>
      </w:r>
      <w:proofErr w:type="spellStart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A11D5F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A11D5F" w:rsidRDefault="003F6242" w:rsidP="00EF7272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3F6242" w:rsidRPr="00A11D5F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EB" w:rsidRDefault="00FA6AEB" w:rsidP="007E1FBB">
      <w:pPr>
        <w:spacing w:after="0" w:line="240" w:lineRule="auto"/>
      </w:pPr>
      <w:r>
        <w:separator/>
      </w:r>
    </w:p>
  </w:endnote>
  <w:endnote w:type="continuationSeparator" w:id="0">
    <w:p w:rsidR="00FA6AEB" w:rsidRDefault="00FA6AEB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EB" w:rsidRDefault="00FA6AEB">
    <w:pPr>
      <w:pStyle w:val="Bunntekst"/>
      <w:jc w:val="right"/>
    </w:pPr>
  </w:p>
  <w:p w:rsidR="00FA6AEB" w:rsidRDefault="00FA6AE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EB" w:rsidRDefault="00FA6AEB" w:rsidP="007E1FBB">
      <w:pPr>
        <w:spacing w:after="0" w:line="240" w:lineRule="auto"/>
      </w:pPr>
      <w:r>
        <w:separator/>
      </w:r>
    </w:p>
  </w:footnote>
  <w:footnote w:type="continuationSeparator" w:id="0">
    <w:p w:rsidR="00FA6AEB" w:rsidRDefault="00FA6AEB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EB" w:rsidRPr="001D4AF2" w:rsidRDefault="00FA6AEB">
    <w:pPr>
      <w:pStyle w:val="Topptekst"/>
      <w:rPr>
        <w:lang w:val="nb-NO"/>
      </w:rPr>
    </w:pPr>
    <w:r>
      <w:rPr>
        <w:lang w:val="nb-NO"/>
      </w:rPr>
      <w:t>Emnekode: MOL300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E2"/>
    <w:multiLevelType w:val="hybridMultilevel"/>
    <w:tmpl w:val="E3083F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1DBF"/>
    <w:multiLevelType w:val="hybridMultilevel"/>
    <w:tmpl w:val="D7240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601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66C3"/>
    <w:multiLevelType w:val="hybridMultilevel"/>
    <w:tmpl w:val="3886F5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75240B"/>
    <w:multiLevelType w:val="hybridMultilevel"/>
    <w:tmpl w:val="CD7C8C8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B4F2E"/>
    <w:multiLevelType w:val="hybridMultilevel"/>
    <w:tmpl w:val="D676F71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A21"/>
    <w:multiLevelType w:val="hybridMultilevel"/>
    <w:tmpl w:val="9EFCD00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8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4"/>
  </w:num>
  <w:num w:numId="16">
    <w:abstractNumId w:val="19"/>
  </w:num>
  <w:num w:numId="17">
    <w:abstractNumId w:val="13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4C0A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1D5F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6AEB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FA6AEB"/>
    <w:pPr>
      <w:widowControl/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  <w:style w:type="paragraph" w:customStyle="1" w:styleId="Normal0">
    <w:name w:val="[Normal]"/>
    <w:rsid w:val="00FA6A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FA6AEB"/>
    <w:pPr>
      <w:widowControl/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  <w:style w:type="paragraph" w:customStyle="1" w:styleId="Normal0">
    <w:name w:val="[Normal]"/>
    <w:rsid w:val="00FA6A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rettleiar@mbi.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mbi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en/course/MOL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5C75-7CAE-4510-AB25-8DDC273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8C5B6278.dotm</Template>
  <TotalTime>2</TotalTime>
  <Pages>8</Pages>
  <Words>1097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3</cp:revision>
  <cp:lastPrinted>2014-11-06T13:45:00Z</cp:lastPrinted>
  <dcterms:created xsi:type="dcterms:W3CDTF">2017-01-31T17:05:00Z</dcterms:created>
  <dcterms:modified xsi:type="dcterms:W3CDTF">2017-02-01T15:09:00Z</dcterms:modified>
</cp:coreProperties>
</file>