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4F647F" w:rsidRPr="00CF50F8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Mal fo</w:t>
      </w:r>
      <w:r w:rsidR="00CF50F8"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r Det matematisk-naturvitskaple</w:t>
      </w: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ge fakultet</w:t>
      </w:r>
    </w:p>
    <w:p w:rsidR="00E33BA5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:rsidR="003F6242" w:rsidRPr="00A76CAD" w:rsidRDefault="003F6242" w:rsidP="00D561AE">
      <w:pPr>
        <w:spacing w:before="22" w:after="0" w:line="240" w:lineRule="auto"/>
        <w:ind w:right="-20"/>
        <w:rPr>
          <w:rFonts w:asciiTheme="minorHAnsi" w:hAnsiTheme="minorHAnsi" w:cstheme="minorHAnsi"/>
          <w:sz w:val="32"/>
          <w:szCs w:val="32"/>
          <w:lang w:val="nn-NO"/>
        </w:rPr>
      </w:pP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M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al</w:t>
      </w:r>
      <w:r w:rsidRPr="00A76CAD">
        <w:rPr>
          <w:rFonts w:asciiTheme="minorHAnsi" w:hAnsiTheme="minorHAnsi" w:cstheme="minorHAnsi"/>
          <w:b/>
          <w:bCs/>
          <w:spacing w:val="-8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f</w:t>
      </w:r>
      <w:r w:rsidRPr="00A76CAD">
        <w:rPr>
          <w:rFonts w:asciiTheme="minorHAnsi" w:hAnsiTheme="minorHAnsi" w:cstheme="minorHAnsi"/>
          <w:b/>
          <w:bCs/>
          <w:spacing w:val="-5"/>
          <w:sz w:val="32"/>
          <w:szCs w:val="32"/>
          <w:lang w:val="nn-NO"/>
        </w:rPr>
        <w:t>o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r</w:t>
      </w:r>
      <w:r w:rsidRPr="00A76CAD">
        <w:rPr>
          <w:rFonts w:asciiTheme="minorHAnsi" w:hAnsiTheme="minorHAnsi" w:cstheme="minorHAnsi"/>
          <w:b/>
          <w:bCs/>
          <w:spacing w:val="-1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emnebeskrivingar</w:t>
      </w:r>
      <w:r w:rsidRPr="00A76CAD">
        <w:rPr>
          <w:rFonts w:asciiTheme="minorHAnsi" w:hAnsiTheme="minorHAnsi" w:cstheme="minorHAnsi"/>
          <w:b/>
          <w:bCs/>
          <w:color w:val="FF0000"/>
          <w:spacing w:val="-17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v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d</w:t>
      </w:r>
      <w:r w:rsidRPr="00A76CAD">
        <w:rPr>
          <w:rFonts w:asciiTheme="minorHAnsi" w:hAnsiTheme="minorHAnsi" w:cstheme="minorHAnsi"/>
          <w:b/>
          <w:bCs/>
          <w:spacing w:val="-4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5"/>
          <w:sz w:val="32"/>
          <w:szCs w:val="32"/>
          <w:lang w:val="nn-NO"/>
        </w:rPr>
        <w:t>U</w:t>
      </w:r>
      <w:r w:rsidRPr="00A76CAD">
        <w:rPr>
          <w:rFonts w:asciiTheme="minorHAnsi" w:hAnsiTheme="minorHAnsi" w:cstheme="minorHAnsi"/>
          <w:b/>
          <w:bCs/>
          <w:spacing w:val="-6"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ive</w:t>
      </w:r>
      <w:r w:rsidRPr="00A76CAD">
        <w:rPr>
          <w:rFonts w:asciiTheme="minorHAnsi" w:hAnsiTheme="minorHAnsi" w:cstheme="minorHAnsi"/>
          <w:b/>
          <w:bCs/>
          <w:spacing w:val="2"/>
          <w:sz w:val="32"/>
          <w:szCs w:val="32"/>
          <w:lang w:val="nn-NO"/>
        </w:rPr>
        <w:t>rs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</w:t>
      </w:r>
      <w:r w:rsidRPr="00A76CAD">
        <w:rPr>
          <w:rFonts w:asciiTheme="minorHAnsi" w:hAnsiTheme="minorHAnsi" w:cstheme="minorHAnsi"/>
          <w:b/>
          <w:bCs/>
          <w:spacing w:val="-2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-15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i 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Ber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g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="00BD2F7D">
        <w:rPr>
          <w:rFonts w:asciiTheme="minorHAnsi" w:hAnsiTheme="minorHAnsi" w:cstheme="minorHAnsi"/>
          <w:b/>
          <w:bCs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- </w:t>
      </w:r>
      <w:r w:rsidRPr="00A76CAD">
        <w:rPr>
          <w:rFonts w:asciiTheme="minorHAnsi" w:hAnsiTheme="minorHAnsi"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:rsidR="003F6242" w:rsidRPr="00A76CAD" w:rsidRDefault="003F6242" w:rsidP="00D561AE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:rsidR="003F6242" w:rsidRPr="00A76CAD" w:rsidRDefault="003F6242" w:rsidP="002706A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Krav til studiar går fram av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høyere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utdanning</w:t>
      </w:r>
      <w:r w:rsidRPr="00A76CAD">
        <w:rPr>
          <w:rFonts w:asciiTheme="minorHAnsi" w:hAnsiTheme="minorHAnsi" w:cstheme="minorHAnsi"/>
          <w:b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studietilsynsforskriften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),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NOKUT 2013, </w:t>
      </w:r>
      <w:hyperlink r:id="rId9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http://link.uib.no/?21Vcl</w:t>
        </w:r>
      </w:hyperlink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. UiBs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om opptak,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, vurdering og grader 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 xml:space="preserve">ved </w:t>
      </w:r>
      <w:r w:rsidRPr="00A76CAD">
        <w:rPr>
          <w:rFonts w:asciiTheme="minorHAnsi" w:hAnsiTheme="minorHAnsi" w:cstheme="minorHAnsi"/>
          <w:i/>
          <w:spacing w:val="4"/>
          <w:sz w:val="24"/>
          <w:szCs w:val="24"/>
          <w:lang w:val="nn-NO"/>
        </w:rPr>
        <w:t>U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i/>
          <w:spacing w:val="-4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v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2"/>
          <w:sz w:val="24"/>
          <w:szCs w:val="24"/>
          <w:lang w:val="nn-NO"/>
        </w:rPr>
        <w:t>s</w:t>
      </w:r>
      <w:r w:rsidRPr="00A76CAD">
        <w:rPr>
          <w:rFonts w:asciiTheme="minorHAnsi" w:hAnsiTheme="minorHAnsi" w:cstheme="minorHAnsi"/>
          <w:i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6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-8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pacing w:val="-2"/>
          <w:sz w:val="24"/>
          <w:szCs w:val="24"/>
          <w:lang w:val="nn-NO"/>
        </w:rPr>
        <w:t>B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(Studieforskrifta) 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7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kapittel 3 </w:t>
      </w:r>
      <w:r w:rsidRPr="00A76CAD">
        <w:rPr>
          <w:rFonts w:asciiTheme="minorHAnsi" w:hAnsiTheme="minorHAnsi" w:cstheme="minorHAnsi"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4"/>
          <w:sz w:val="24"/>
          <w:szCs w:val="24"/>
          <w:lang w:val="nn-NO"/>
        </w:rPr>
        <w:t>la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r </w:t>
      </w:r>
      <w:r w:rsidRPr="00A76CAD">
        <w:rPr>
          <w:rFonts w:asciiTheme="minorHAnsi" w:hAnsiTheme="minorHAnsi" w:cstheme="minorHAnsi"/>
          <w:spacing w:val="-8"/>
          <w:sz w:val="24"/>
          <w:szCs w:val="24"/>
          <w:lang w:val="nn-NO"/>
        </w:rPr>
        <w:t>f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o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4"/>
          <w:sz w:val="24"/>
          <w:szCs w:val="24"/>
          <w:lang w:val="nn-NO"/>
        </w:rPr>
        <w:t xml:space="preserve"> s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ud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estruktur og studieplan: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hyperlink r:id="rId10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http://link.uib.no/?YoXx</w:t>
        </w:r>
      </w:hyperlink>
    </w:p>
    <w:p w:rsidR="003F6242" w:rsidRPr="00A76CAD" w:rsidRDefault="003F6242" w:rsidP="00303AA1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UiB si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Handbok for kvalitetssikring av universitetsstudia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hyperlink r:id="rId11" w:history="1">
        <w:r w:rsidRPr="00A76CAD">
          <w:rPr>
            <w:rStyle w:val="Hyperkopling"/>
            <w:rFonts w:asciiTheme="minorHAnsi" w:hAnsiTheme="minorHAnsi" w:cstheme="minorHAnsi"/>
            <w:sz w:val="24"/>
            <w:szCs w:val="24"/>
            <w:lang w:val="nn-NO"/>
          </w:rPr>
          <w:t>http://www.uib.no/studiekvalitet</w:t>
        </w:r>
      </w:hyperlink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.</w:t>
      </w:r>
    </w:p>
    <w:p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>Studietilsynsforskrifta (NOKUT) seier i § 7-4 at «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Delene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studiet består av 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skal utgjøre en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samlet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helhet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standarder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og kriterier for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akkreditering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av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§ 7-1 til § 7-3.»</w:t>
      </w:r>
    </w:p>
    <w:p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spacing w:val="-1"/>
          <w:sz w:val="24"/>
          <w:szCs w:val="24"/>
          <w:lang w:val="nn-NO"/>
        </w:rPr>
      </w:pPr>
    </w:p>
    <w:p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tillegg til kategoriane i tabellen nedanfor, skal emnebeskrivinga innehalde følgjande informasjon: dato for godkjenning, dato for eventuelle justeringar, namn på instans som har godkjent beskrivinga, dato for førre evaluering og neste planlagde evaluering av emnet.  Denne informasjonen skal stå på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forsida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til planen.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Forsidemal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finn ein sist i dette dokumentet.</w:t>
      </w:r>
    </w:p>
    <w:p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Eventuelt forslag til tekst står i kursiv i kolonnen «Tekst». Rettleiing og nokre døme finn ein i kolonnen til høgre. Den må fjernast før emnebeskrivinga vert send til programstyre, institutt og fakultet. 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2A1826" w:rsidRDefault="002A1826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br w:type="page"/>
      </w:r>
    </w:p>
    <w:p w:rsidR="003F6242" w:rsidRPr="00A76CAD" w:rsidRDefault="002A1826" w:rsidP="002A1826">
      <w:pPr>
        <w:spacing w:before="29" w:after="0" w:line="240" w:lineRule="auto"/>
        <w:ind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lastRenderedPageBreak/>
        <w:t xml:space="preserve"> 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A</w:t>
      </w:r>
      <w:r w:rsidR="00CF50F8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lle emnar skal ha tekster på båd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 xml:space="preserve">e </w:t>
      </w:r>
      <w:r w:rsid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ny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29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9365"/>
      </w:tblGrid>
      <w:tr w:rsidR="00786679" w:rsidRPr="00A76CAD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A76CAD" w:rsidRDefault="00786679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E05353" w:rsidRDefault="00786679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A76CAD" w:rsidRDefault="00786679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Standardtekster ved MN-</w:t>
            </w:r>
            <w:proofErr w:type="spellStart"/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786679" w:rsidRPr="00E33BA5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KJEM123</w:t>
            </w:r>
          </w:p>
        </w:tc>
      </w:tr>
      <w:tr w:rsidR="00786679" w:rsidRPr="00E33BA5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9621F1">
              <w:rPr>
                <w:rFonts w:asciiTheme="minorHAnsi" w:hAnsiTheme="minorHAnsi" w:cstheme="minorHAnsi"/>
              </w:rPr>
              <w:t>Eksperimentell</w:t>
            </w:r>
            <w:proofErr w:type="spellEnd"/>
            <w:r w:rsidRPr="009621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1F1">
              <w:rPr>
                <w:rFonts w:asciiTheme="minorHAnsi" w:hAnsiTheme="minorHAnsi" w:cstheme="minorHAnsi"/>
              </w:rPr>
              <w:t>uorganisk</w:t>
            </w:r>
            <w:proofErr w:type="spellEnd"/>
            <w:r w:rsidRPr="009621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1F1">
              <w:rPr>
                <w:rFonts w:asciiTheme="minorHAnsi" w:hAnsiTheme="minorHAnsi" w:cstheme="minorHAnsi"/>
              </w:rPr>
              <w:t>kjemi</w:t>
            </w:r>
            <w:proofErr w:type="spellEnd"/>
          </w:p>
        </w:tc>
      </w:tr>
      <w:tr w:rsidR="00786679" w:rsidRPr="00E33BA5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9621F1">
              <w:rPr>
                <w:rFonts w:asciiTheme="minorHAnsi" w:hAnsiTheme="minorHAnsi" w:cstheme="minorHAnsi"/>
              </w:rPr>
              <w:t>Eksperimentell</w:t>
            </w:r>
            <w:proofErr w:type="spellEnd"/>
            <w:r w:rsidRPr="009621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1F1">
              <w:rPr>
                <w:rFonts w:asciiTheme="minorHAnsi" w:hAnsiTheme="minorHAnsi" w:cstheme="minorHAnsi"/>
              </w:rPr>
              <w:t>uorganisk</w:t>
            </w:r>
            <w:proofErr w:type="spellEnd"/>
            <w:r w:rsidRPr="009621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1F1">
              <w:rPr>
                <w:rFonts w:asciiTheme="minorHAnsi" w:hAnsiTheme="minorHAnsi" w:cstheme="minorHAnsi"/>
              </w:rPr>
              <w:t>kjemi</w:t>
            </w:r>
            <w:proofErr w:type="spellEnd"/>
          </w:p>
        </w:tc>
      </w:tr>
      <w:tr w:rsidR="00786679" w:rsidRPr="00E33BA5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Experimental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inorganic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chemistry</w:t>
            </w:r>
            <w:proofErr w:type="spellEnd"/>
          </w:p>
        </w:tc>
      </w:tr>
      <w:tr w:rsidR="00786679" w:rsidRPr="00A76CAD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10</w:t>
            </w:r>
          </w:p>
        </w:tc>
      </w:tr>
      <w:tr w:rsidR="00786679" w:rsidRPr="00A76CAD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86679" w:rsidRPr="006C487F" w:rsidRDefault="00786679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D95138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Bachelor</w:t>
            </w:r>
            <w:proofErr w:type="spellEnd"/>
          </w:p>
        </w:tc>
      </w:tr>
      <w:tr w:rsidR="00786679" w:rsidRPr="00996578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Fulltid [Full-time]</w:t>
            </w:r>
          </w:p>
        </w:tc>
      </w:tr>
      <w:tr w:rsidR="00786679" w:rsidRPr="00B3115F" w:rsidTr="00786679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D95138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lang w:val="nb-NO" w:eastAsia="nb-NO"/>
              </w:rPr>
            </w:pPr>
            <w:r w:rsidRPr="009621F1">
              <w:rPr>
                <w:rFonts w:asciiTheme="minorHAnsi" w:eastAsia="Times New Roman" w:hAnsiTheme="minorHAnsi" w:cstheme="minorHAnsi"/>
                <w:lang w:val="nb-NO" w:eastAsia="nb-NO"/>
              </w:rPr>
              <w:t xml:space="preserve">   Norsk [Norwegian]</w:t>
            </w:r>
          </w:p>
          <w:p w:rsidR="00786679" w:rsidRPr="009621F1" w:rsidRDefault="00786679" w:rsidP="00D95138">
            <w:pPr>
              <w:widowControl/>
              <w:spacing w:before="100" w:beforeAutospacing="1" w:after="0" w:line="240" w:lineRule="auto"/>
              <w:ind w:left="212" w:right="142"/>
              <w:rPr>
                <w:rFonts w:asciiTheme="minorHAnsi" w:eastAsia="Times New Roman" w:hAnsiTheme="minorHAnsi" w:cstheme="minorHAnsi"/>
                <w:lang w:val="nb-NO" w:eastAsia="nb-NO"/>
              </w:rPr>
            </w:pPr>
          </w:p>
        </w:tc>
      </w:tr>
      <w:tr w:rsidR="00786679" w:rsidRPr="00134F8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786679" w:rsidRDefault="00786679" w:rsidP="005B61C0">
            <w:pPr>
              <w:widowControl/>
              <w:spacing w:after="0"/>
              <w:ind w:left="142" w:right="142"/>
              <w:rPr>
                <w:rStyle w:val="Hyperkopling"/>
                <w:rFonts w:asciiTheme="minorHAnsi" w:hAnsiTheme="minorHAnsi" w:cstheme="minorHAnsi"/>
                <w:color w:val="026F9C"/>
                <w:shd w:val="clear" w:color="auto" w:fill="FFFFFF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Vår (</w:t>
            </w:r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  <w:t xml:space="preserve">Fargekode: gul). Emnet har eit avgrensa tal plassar og inngår i undervisningsopptaket. </w:t>
            </w:r>
            <w:r w:rsidRPr="0078667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Meir info: </w:t>
            </w:r>
            <w:hyperlink r:id="rId12" w:history="1">
              <w:r w:rsidRPr="00786679">
                <w:rPr>
                  <w:rStyle w:val="Hyperkopling"/>
                  <w:rFonts w:asciiTheme="minorHAnsi" w:hAnsiTheme="minorHAnsi" w:cstheme="minorHAnsi"/>
                  <w:color w:val="026F9C"/>
                  <w:shd w:val="clear" w:color="auto" w:fill="FFFFFF"/>
                </w:rPr>
                <w:t>http://www.uib.no/matnat/utdanning/studiehverdag/undervisningsopptaket</w:t>
              </w:r>
            </w:hyperlink>
          </w:p>
          <w:p w:rsidR="00786679" w:rsidRPr="009621F1" w:rsidRDefault="00786679" w:rsidP="005B61C0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</w:rPr>
            </w:pPr>
            <w:r w:rsidRPr="00786679">
              <w:rPr>
                <w:rFonts w:asciiTheme="minorHAnsi" w:hAnsiTheme="minorHAnsi" w:cstheme="minorHAnsi"/>
              </w:rPr>
              <w:t>[Spring] (</w:t>
            </w:r>
            <w:proofErr w:type="spellStart"/>
            <w:proofErr w:type="gramStart"/>
            <w:r w:rsidRPr="00786679">
              <w:rPr>
                <w:rFonts w:asciiTheme="minorHAnsi" w:hAnsiTheme="minorHAnsi" w:cstheme="minorHAnsi"/>
              </w:rPr>
              <w:t>colour</w:t>
            </w:r>
            <w:proofErr w:type="spellEnd"/>
            <w:proofErr w:type="gramEnd"/>
            <w:r w:rsidRPr="00786679">
              <w:rPr>
                <w:rFonts w:asciiTheme="minorHAnsi" w:hAnsiTheme="minorHAnsi" w:cstheme="minorHAnsi"/>
              </w:rPr>
              <w:t xml:space="preserve"> code: yellow). </w:t>
            </w:r>
            <w:r w:rsidRPr="009621F1">
              <w:rPr>
                <w:rFonts w:asciiTheme="minorHAnsi" w:hAnsiTheme="minorHAnsi" w:cstheme="minorHAnsi"/>
              </w:rPr>
              <w:t xml:space="preserve">The course has a limited number of places, students must apply for admission. More information: </w:t>
            </w:r>
          </w:p>
          <w:p w:rsidR="00786679" w:rsidRPr="009621F1" w:rsidRDefault="00786679" w:rsidP="005B61C0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</w:rPr>
            </w:pPr>
            <w:hyperlink r:id="rId13" w:history="1">
              <w:r w:rsidRPr="009621F1">
                <w:rPr>
                  <w:rStyle w:val="Hyperkopling"/>
                  <w:rFonts w:asciiTheme="minorHAnsi" w:hAnsiTheme="minorHAnsi" w:cstheme="minorHAnsi"/>
                  <w:color w:val="026F9C"/>
                  <w:shd w:val="clear" w:color="auto" w:fill="FFFFFF"/>
                </w:rPr>
                <w:t>http://www.uib.no/matnat/utdanning/studiehverdag/undervisningsopptaket</w:t>
              </w:r>
            </w:hyperlink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lastRenderedPageBreak/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EB_INNHOLD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highlight w:val="yellow"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highlight w:val="yellow"/>
                <w:lang w:val="nn-NO"/>
              </w:rPr>
              <w:t>Mål: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highlight w:val="yellow"/>
                <w:lang w:val="nn-NO"/>
              </w:rPr>
              <w:t>Emnet har som mål å . . .</w:t>
            </w:r>
            <w:r w:rsidRPr="009621F1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  <w:p w:rsidR="00786679" w:rsidRPr="009621F1" w:rsidRDefault="00786679" w:rsidP="00786679">
            <w:pPr>
              <w:widowControl/>
              <w:spacing w:after="0"/>
              <w:ind w:left="577" w:right="142"/>
              <w:rPr>
                <w:rFonts w:asciiTheme="minorHAnsi" w:hAnsiTheme="minorHAnsi" w:cstheme="minorHAnsi"/>
                <w:i/>
                <w:lang w:val="nn-NO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333333"/>
                <w:shd w:val="clear" w:color="auto" w:fill="FFFFFF"/>
                <w:lang w:val="nb-NO"/>
              </w:rPr>
            </w:pPr>
            <w:proofErr w:type="spellStart"/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  <w:lang w:val="nb-NO"/>
              </w:rPr>
              <w:t>Innhald</w:t>
            </w:r>
            <w:proofErr w:type="spellEnd"/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  <w:lang w:val="nb-NO"/>
              </w:rPr>
              <w:t>:</w:t>
            </w:r>
          </w:p>
          <w:p w:rsidR="00786679" w:rsidRPr="00B66DC4" w:rsidRDefault="00786679" w:rsidP="0078667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478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har som mål å gje ei vidare innføring og oversikt over grunnleggjande uorganisk kjemi illustrert samen og parallelt med eksperimentell </w:t>
            </w:r>
            <w:proofErr w:type="spellStart"/>
            <w:r w:rsidRPr="00DB478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karakterisering</w:t>
            </w:r>
            <w:proofErr w:type="spellEnd"/>
            <w:r w:rsidRPr="00DB478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stoffkjemi og metallkompleks.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Laboratoriekurset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er to-delt: dels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illustrerer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det 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bruken av og eigenskapar hos forskjellige uorganiske stoff som f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unksjon av pH og kjemisk miljø, og dels lærer studentane å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lassifisere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id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entifisere 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uorganiske ion i utleverte prøvar. Laboratoriekurset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gir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ein kunnskapsbasert 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llustrativ gjennomgang av trenda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og reaksjonsty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frå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tidle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ge kjemiske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elementa og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</w:t>
            </w:r>
            <w:r w:rsidRPr="00B66DC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-metallk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ompleks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I tillegg understrekar kurset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utvalde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generelle og innleiande omgrep frå molekylær symmetri, nomenklatur, geometri, koordineringsmodi, og krystall- og </w:t>
            </w:r>
            <w:proofErr w:type="spellStart"/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ligandfeltteori</w:t>
            </w:r>
            <w:proofErr w:type="spellEnd"/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r w:rsidRPr="00B66DC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-metallkompleks. Emnet gir grunnleggjande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kunnskapa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i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spektroskopi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inkludert ei forståing av korleis spektroskopi kan nyttast til å bestemme energiovergangar og strukturelle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tilhøve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molekyl. </w:t>
            </w:r>
          </w:p>
          <w:p w:rsidR="00786679" w:rsidRPr="009621F1" w:rsidRDefault="0078667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lang w:val="nn-NO"/>
              </w:rPr>
            </w:pPr>
          </w:p>
          <w:p w:rsidR="00786679" w:rsidRPr="009621F1" w:rsidRDefault="0078667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highlight w:val="yellow"/>
              </w:rPr>
            </w:pPr>
            <w:r w:rsidRPr="009621F1">
              <w:rPr>
                <w:rFonts w:asciiTheme="minorHAnsi" w:hAnsiTheme="minorHAnsi" w:cstheme="minorHAnsi"/>
                <w:highlight w:val="yellow"/>
              </w:rPr>
              <w:t>[</w:t>
            </w:r>
            <w:r w:rsidRPr="009621F1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Objectives: </w:t>
            </w:r>
          </w:p>
          <w:p w:rsidR="00786679" w:rsidRPr="009621F1" w:rsidRDefault="0078667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</w:rPr>
            </w:pPr>
            <w:r w:rsidRPr="009621F1">
              <w:rPr>
                <w:rFonts w:asciiTheme="minorHAnsi" w:hAnsiTheme="minorHAnsi" w:cstheme="minorHAnsi"/>
                <w:highlight w:val="yellow"/>
              </w:rPr>
              <w:t>The course aims…</w:t>
            </w:r>
            <w:r w:rsidRPr="009621F1">
              <w:rPr>
                <w:rFonts w:asciiTheme="minorHAnsi" w:hAnsiTheme="minorHAnsi" w:cstheme="minorHAnsi"/>
              </w:rPr>
              <w:t xml:space="preserve"> </w:t>
            </w:r>
          </w:p>
          <w:p w:rsidR="00786679" w:rsidRPr="009621F1" w:rsidRDefault="00786679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21F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Content: </w:t>
            </w:r>
          </w:p>
          <w:p w:rsidR="00786679" w:rsidRPr="009621F1" w:rsidRDefault="00786679" w:rsidP="00786679">
            <w:pPr>
              <w:ind w:left="152"/>
              <w:rPr>
                <w:rFonts w:asciiTheme="minorHAnsi" w:hAnsiTheme="minorHAnsi" w:cstheme="minorHAnsi"/>
              </w:rPr>
            </w:pP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u w:val="single"/>
                <w:lang w:val="nn-NO"/>
              </w:rPr>
            </w:pPr>
            <w:r w:rsidRPr="009621F1">
              <w:rPr>
                <w:rFonts w:asciiTheme="minorHAnsi" w:hAnsiTheme="minorHAnsi" w:cstheme="minorHAnsi"/>
                <w:highlight w:val="yellow"/>
                <w:u w:val="single"/>
                <w:lang w:val="nn-NO"/>
              </w:rPr>
              <w:t>Kunnskapar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Studenten…</w:t>
            </w:r>
          </w:p>
          <w:p w:rsidR="00786679" w:rsidRPr="00786679" w:rsidRDefault="00786679" w:rsidP="00786679">
            <w:pPr>
              <w:pStyle w:val="Listeavsnitt"/>
              <w:numPr>
                <w:ilvl w:val="0"/>
                <w:numId w:val="16"/>
              </w:numPr>
              <w:ind w:left="577"/>
              <w:rPr>
                <w:rFonts w:asciiTheme="minorHAnsi" w:hAnsiTheme="minorHAnsi" w:cstheme="minorHAnsi"/>
                <w:lang w:val="nn-NO"/>
              </w:rPr>
            </w:pPr>
            <w:r w:rsidRPr="00786679">
              <w:rPr>
                <w:rFonts w:asciiTheme="minorHAnsi" w:hAnsiTheme="minorHAnsi" w:cstheme="minorHAnsi"/>
                <w:lang w:val="nn-NO"/>
              </w:rPr>
              <w:t>har praktisk kjennskap til kvantitativ analyse og syntese av uorganiske sambindingar</w:t>
            </w:r>
          </w:p>
          <w:p w:rsidR="00786679" w:rsidRPr="00786679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har grunnleggjande kunnskapar 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om vesentlege omgrep og te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oria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r om molekylær symmetri for uorganiske stoff og relevansen som dette har for eksperimentell spektroskopisk </w:t>
            </w:r>
            <w:proofErr w:type="spellStart"/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karakterisering</w:t>
            </w:r>
            <w:proofErr w:type="spellEnd"/>
          </w:p>
          <w:p w:rsidR="00786679" w:rsidRPr="00786679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lang w:val="nn-NO"/>
              </w:rPr>
            </w:pPr>
            <w:r w:rsidRPr="00786679">
              <w:rPr>
                <w:rFonts w:asciiTheme="minorHAnsi" w:hAnsiTheme="minorHAnsi" w:cstheme="minorHAnsi"/>
                <w:lang w:val="nn-NO"/>
              </w:rPr>
              <w:t xml:space="preserve">har </w:t>
            </w:r>
            <w:r w:rsidRPr="00786679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kunnskap om nomenklatur, formular, koordineringsmodi, geometriar, reaksjonslikningar og grunnleggjande uorganiske reaksjonstypar, kunnskap om kjemiske bindingar og teoriar som forklarar elektroniske eigenskapar hos d-metallkompleksa ut frå metallet si plassering i det periodiske systemet og </w:t>
            </w:r>
            <w:proofErr w:type="spellStart"/>
            <w:r w:rsidRPr="00786679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ligandane</w:t>
            </w:r>
            <w:proofErr w:type="spellEnd"/>
            <w:r w:rsidRPr="00786679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 sine eigenskapar</w:t>
            </w:r>
          </w:p>
          <w:p w:rsidR="00786679" w:rsidRPr="009621F1" w:rsidRDefault="00786679" w:rsidP="00786679">
            <w:pPr>
              <w:pStyle w:val="Listeavsnitt"/>
              <w:widowControl/>
              <w:spacing w:after="0"/>
              <w:ind w:left="577" w:right="142"/>
              <w:rPr>
                <w:rFonts w:asciiTheme="minorHAnsi" w:hAnsiTheme="minorHAnsi" w:cstheme="minorHAnsi"/>
                <w:lang w:val="nn-NO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u w:val="single"/>
                <w:lang w:val="nn-NO"/>
              </w:rPr>
            </w:pPr>
            <w:r w:rsidRPr="009621F1">
              <w:rPr>
                <w:rFonts w:asciiTheme="minorHAnsi" w:hAnsiTheme="minorHAnsi" w:cstheme="minorHAnsi"/>
                <w:highlight w:val="yellow"/>
                <w:u w:val="single"/>
                <w:lang w:val="nn-NO"/>
              </w:rPr>
              <w:t>Ferdigheiter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Studenten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kan gjere greie for dei viktigaste og vanlegaste metodane for eksperimentell </w:t>
            </w:r>
            <w:proofErr w:type="spellStart"/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karakterisering</w:t>
            </w:r>
            <w:proofErr w:type="spellEnd"/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 av uorganiske sambindingar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kan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arbeide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 sjølvstendig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med 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praktisk laboratoriearbeid og kan dokumentere eksperimentelle resultat 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lastRenderedPageBreak/>
              <w:t>gjennom rapportskriving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kan utføre enkle syntesar av typiske uorganiske sambindingar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kan bruke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relevante teoriar, eksperimentelle metoda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r og analyseverktøy for identifisering, </w:t>
            </w:r>
            <w:proofErr w:type="spellStart"/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kvantifisering</w:t>
            </w:r>
            <w:proofErr w:type="spellEnd"/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 og strukturoppklaring av kjemiske sambindingar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kan gjennomføre ei avgrens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a undersøk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ing av eit kjemisk problem på ein vitskapleg måte og analysere og tolke resultata i lys av relevant teori 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kan vurdere eigne og andre sine produkt og resultat, mellom anna med omsyn på uvisse og feilkjelder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577" w:hanging="284"/>
              <w:textAlignment w:val="baseline"/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>kan vurdere ulike aspekt</w:t>
            </w:r>
            <w:r w:rsidRPr="00B66DC4">
              <w:rPr>
                <w:color w:val="333333"/>
                <w:sz w:val="20"/>
                <w:szCs w:val="20"/>
                <w:shd w:val="clear" w:color="auto" w:fill="FFFFFF"/>
                <w:lang w:val="nn-NO"/>
              </w:rPr>
              <w:t xml:space="preserve"> av helse, miljø og sikkerheit (HMS), kan trygt handtere kjemisk stoff basert på kunnskap om stoffa sine eigenskapar og aktuelle risikofaktorar, og kan vurdere risiko ved bruk av desse sambindingane</w:t>
            </w:r>
            <w:bookmarkStart w:id="0" w:name="_GoBack"/>
            <w:bookmarkEnd w:id="0"/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lang w:val="nn-NO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u w:val="single"/>
                <w:lang w:val="nn-NO"/>
              </w:rPr>
            </w:pPr>
            <w:r w:rsidRPr="009621F1">
              <w:rPr>
                <w:rFonts w:asciiTheme="minorHAnsi" w:hAnsiTheme="minorHAnsi" w:cstheme="minorHAnsi"/>
                <w:highlight w:val="yellow"/>
                <w:u w:val="single"/>
                <w:lang w:val="nn-NO"/>
              </w:rPr>
              <w:t>Generell kompetanse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Studenten</w:t>
            </w:r>
          </w:p>
          <w:p w:rsidR="00786679" w:rsidRPr="009F532A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77" w:right="142" w:hanging="284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F532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formulere nye hypotesar og vurdere dei i lys av eksperimentelle resultat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77" w:right="142" w:hanging="284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konkretisere og verifisere teoretisk kunnskap ved hjelp av eksperiment  </w:t>
            </w:r>
          </w:p>
          <w:p w:rsidR="00786679" w:rsidRPr="00B66DC4" w:rsidRDefault="00786679" w:rsidP="0078667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77" w:right="142" w:hanging="284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arbeide både sjølvstendig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sama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 med andre innanfor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praktisk laboratorie</w:t>
            </w:r>
            <w:r w:rsidRPr="00B66DC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kjemi</w:t>
            </w:r>
          </w:p>
          <w:p w:rsidR="00786679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lang w:val="nn-NO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  <w:r w:rsidRPr="009621F1">
              <w:rPr>
                <w:rFonts w:asciiTheme="minorHAnsi" w:hAnsiTheme="minorHAnsi" w:cstheme="minorHAnsi"/>
                <w:color w:val="002060"/>
              </w:rPr>
              <w:t>On completion of the course the student should have the following learning outcomes defined in terms of knowledge, skills and general competence: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9621F1">
              <w:rPr>
                <w:rFonts w:asciiTheme="minorHAnsi" w:hAnsiTheme="minorHAnsi" w:cstheme="minorHAnsi"/>
                <w:color w:val="002060"/>
                <w:highlight w:val="yellow"/>
                <w:u w:val="single"/>
              </w:rPr>
              <w:t>Knowledge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  <w:r w:rsidRPr="009621F1">
              <w:rPr>
                <w:rFonts w:asciiTheme="minorHAnsi" w:hAnsiTheme="minorHAnsi" w:cstheme="minorHAnsi"/>
                <w:color w:val="002060"/>
              </w:rPr>
              <w:t>The student</w:t>
            </w:r>
          </w:p>
          <w:p w:rsidR="00786679" w:rsidRPr="009621F1" w:rsidRDefault="0078667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has…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9621F1">
              <w:rPr>
                <w:rFonts w:asciiTheme="minorHAnsi" w:hAnsiTheme="minorHAnsi" w:cstheme="minorHAnsi"/>
                <w:color w:val="002060"/>
                <w:highlight w:val="yellow"/>
                <w:u w:val="single"/>
              </w:rPr>
              <w:t>Skills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  <w:r w:rsidRPr="009621F1">
              <w:rPr>
                <w:rFonts w:asciiTheme="minorHAnsi" w:hAnsiTheme="minorHAnsi" w:cstheme="minorHAnsi"/>
                <w:color w:val="002060"/>
              </w:rPr>
              <w:t>The student</w:t>
            </w:r>
          </w:p>
          <w:p w:rsidR="00786679" w:rsidRPr="009621F1" w:rsidRDefault="0078667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is able to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9621F1">
              <w:rPr>
                <w:rFonts w:asciiTheme="minorHAnsi" w:hAnsiTheme="minorHAnsi" w:cstheme="minorHAnsi"/>
                <w:color w:val="002060"/>
                <w:u w:val="single"/>
              </w:rPr>
              <w:t>General competence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</w:rPr>
            </w:pPr>
            <w:r w:rsidRPr="009621F1">
              <w:rPr>
                <w:rFonts w:asciiTheme="minorHAnsi" w:hAnsiTheme="minorHAnsi" w:cstheme="minorHAnsi"/>
                <w:color w:val="002060"/>
              </w:rPr>
              <w:t>The student</w:t>
            </w:r>
          </w:p>
          <w:p w:rsidR="00786679" w:rsidRPr="009621F1" w:rsidRDefault="00786679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can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>….</w:t>
            </w:r>
          </w:p>
          <w:p w:rsidR="00786679" w:rsidRPr="009621F1" w:rsidRDefault="00786679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</w:rPr>
            </w:pPr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KJEM 100 </w:t>
            </w:r>
            <w:proofErr w:type="spellStart"/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eller</w:t>
            </w:r>
            <w:proofErr w:type="spellEnd"/>
            <w:r w:rsidRPr="009621F1">
              <w:rPr>
                <w:rStyle w:val="apple-converted-space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hyperlink r:id="rId14" w:history="1">
              <w:r w:rsidRPr="009621F1">
                <w:rPr>
                  <w:rStyle w:val="Hyperkopling"/>
                  <w:rFonts w:asciiTheme="minorHAnsi" w:hAnsiTheme="minorHAnsi" w:cstheme="minorHAnsi"/>
                  <w:color w:val="026F9C"/>
                  <w:shd w:val="clear" w:color="auto" w:fill="FFFFFF"/>
                </w:rPr>
                <w:t>KJEM110</w:t>
              </w:r>
            </w:hyperlink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</w:t>
            </w:r>
            <w:r w:rsidRPr="009621F1">
              <w:rPr>
                <w:rStyle w:val="apple-converted-space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hyperlink r:id="rId15" w:history="1">
              <w:r w:rsidRPr="009621F1">
                <w:rPr>
                  <w:rStyle w:val="Hyperkopling"/>
                  <w:rFonts w:asciiTheme="minorHAnsi" w:hAnsiTheme="minorHAnsi" w:cstheme="minorHAnsi"/>
                  <w:color w:val="004866"/>
                  <w:shd w:val="clear" w:color="auto" w:fill="FFFFFF"/>
                </w:rPr>
                <w:t>KJEM120</w:t>
              </w:r>
            </w:hyperlink>
          </w:p>
        </w:tc>
      </w:tr>
      <w:tr w:rsidR="00786679" w:rsidRPr="00A76CAD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</w:rPr>
            </w:pPr>
            <w:r w:rsidRPr="009621F1">
              <w:rPr>
                <w:rFonts w:asciiTheme="minorHAnsi" w:hAnsiTheme="minorHAnsi" w:cstheme="minorHAnsi"/>
              </w:rPr>
              <w:t>Ingen</w:t>
            </w: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786679" w:rsidRPr="00D13CD7" w:rsidRDefault="0078667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786679" w:rsidRPr="00D13CD7" w:rsidRDefault="00786679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  <w:t>K102: 2stp, K241: 2stp, KJEM121: 4stp, KJEM122: 5stp</w:t>
            </w: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786679" w:rsidRPr="00D13CD7" w:rsidRDefault="0078667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786679" w:rsidRPr="00D13CD7" w:rsidRDefault="0078667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 xml:space="preserve">For </w:t>
            </w: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oppstart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 xml:space="preserve"> på emnet er det krav om ein studierett knytt til Det matematisk-naturvitskaplege fakultet </w:t>
            </w:r>
            <w:hyperlink r:id="rId16" w:history="1">
              <w:r w:rsidRPr="009621F1">
                <w:rPr>
                  <w:rStyle w:val="Hyperkopling"/>
                  <w:rFonts w:asciiTheme="minorHAnsi" w:hAnsiTheme="minorHAnsi" w:cstheme="minorHAnsi"/>
                  <w:lang w:val="nn-NO"/>
                </w:rPr>
                <w:t>http://www.uib.no/matnat/52646/opptak-ved-mn-fakultetet</w:t>
              </w:r>
            </w:hyperlink>
          </w:p>
          <w:p w:rsidR="00786679" w:rsidRPr="009621F1" w:rsidRDefault="00786679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2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[Access to the course requires admission to a </w:t>
            </w:r>
            <w:proofErr w:type="spellStart"/>
            <w:r w:rsidRPr="00962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programme</w:t>
            </w:r>
            <w:proofErr w:type="spellEnd"/>
            <w:r w:rsidRPr="00962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study at The Faculty of Mathematics and Natural Sciences] </w:t>
            </w:r>
          </w:p>
          <w:p w:rsidR="00786679" w:rsidRPr="009621F1" w:rsidRDefault="00786679" w:rsidP="005B61C0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62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86679" w:rsidRPr="009621F1" w:rsidRDefault="00786679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786679" w:rsidRPr="00786679" w:rsidTr="00786679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9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679" w:rsidRPr="009621F1" w:rsidRDefault="00786679" w:rsidP="005B61C0">
            <w:pPr>
              <w:ind w:left="152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Forelesningar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>:</w:t>
            </w:r>
          </w:p>
          <w:p w:rsidR="00786679" w:rsidRPr="009621F1" w:rsidRDefault="00786679" w:rsidP="005B61C0">
            <w:pPr>
              <w:ind w:left="15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 xml:space="preserve">2 </w:t>
            </w: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forelesningar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 xml:space="preserve"> à 2 timar </w:t>
            </w: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pr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 xml:space="preserve"> veke (totalt 4 timar </w:t>
            </w:r>
            <w:proofErr w:type="spellStart"/>
            <w:r w:rsidRPr="009621F1">
              <w:rPr>
                <w:rFonts w:asciiTheme="minorHAnsi" w:hAnsiTheme="minorHAnsi" w:cstheme="minorHAnsi"/>
                <w:lang w:val="nn-NO"/>
              </w:rPr>
              <w:t>pr</w:t>
            </w:r>
            <w:proofErr w:type="spellEnd"/>
            <w:r w:rsidRPr="009621F1">
              <w:rPr>
                <w:rFonts w:asciiTheme="minorHAnsi" w:hAnsiTheme="minorHAnsi" w:cstheme="minorHAnsi"/>
                <w:lang w:val="nn-NO"/>
              </w:rPr>
              <w:t xml:space="preserve"> veke)</w:t>
            </w:r>
          </w:p>
          <w:p w:rsidR="00786679" w:rsidRPr="009621F1" w:rsidRDefault="00786679" w:rsidP="005B61C0">
            <w:pPr>
              <w:ind w:left="152"/>
              <w:rPr>
                <w:rFonts w:asciiTheme="minorHAnsi" w:hAnsiTheme="minorHAnsi" w:cstheme="minorHAnsi"/>
                <w:lang w:val="nn-NO"/>
              </w:rPr>
            </w:pPr>
          </w:p>
          <w:p w:rsidR="00786679" w:rsidRPr="009621F1" w:rsidRDefault="00786679" w:rsidP="005B61C0">
            <w:pPr>
              <w:ind w:left="15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Laboratoriekurs:</w:t>
            </w:r>
          </w:p>
          <w:p w:rsidR="00786679" w:rsidRPr="009621F1" w:rsidRDefault="00786679" w:rsidP="005B61C0">
            <w:pPr>
              <w:ind w:left="15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lang w:val="nn-NO"/>
              </w:rPr>
              <w:t>14 dagar à 6 timar i løpet av kurset (fordelt over semesteret)</w:t>
            </w:r>
          </w:p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786679" w:rsidRPr="00786679" w:rsidTr="00786679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color w:val="333333"/>
                <w:lang w:val="nn-NO"/>
              </w:rPr>
              <w:t xml:space="preserve">Laboratoriekurs med journalføring. Obligatorisk prøve som må vere bestått. Gjennomførte obligatoriske aktivitetar er gyldige i 6 påfølgande semester. Godkjend HMS-kurs. Dersom du ikkje har godkjend HMS-kurs ved Kjemisk institutt, UiB frå tidlegare, må kurset takast same semester i forkant av undervisninga. </w:t>
            </w:r>
            <w:r w:rsidRPr="009621F1">
              <w:rPr>
                <w:rFonts w:asciiTheme="minorHAnsi" w:hAnsiTheme="minorHAnsi" w:cstheme="minorHAnsi"/>
                <w:color w:val="333333"/>
              </w:rPr>
              <w:t>Meir om HMS-</w:t>
            </w:r>
            <w:proofErr w:type="spellStart"/>
            <w:r w:rsidRPr="009621F1">
              <w:rPr>
                <w:rFonts w:asciiTheme="minorHAnsi" w:hAnsiTheme="minorHAnsi" w:cstheme="minorHAnsi"/>
                <w:color w:val="333333"/>
              </w:rPr>
              <w:t>kurset</w:t>
            </w:r>
            <w:proofErr w:type="spellEnd"/>
            <w:r w:rsidRPr="009621F1">
              <w:rPr>
                <w:rFonts w:asciiTheme="minorHAnsi" w:hAnsiTheme="minorHAnsi" w:cstheme="minorHAnsi"/>
                <w:color w:val="333333"/>
              </w:rPr>
              <w:t xml:space="preserve"> på </w:t>
            </w:r>
            <w:proofErr w:type="spellStart"/>
            <w:r w:rsidRPr="009621F1">
              <w:rPr>
                <w:rFonts w:asciiTheme="minorHAnsi" w:hAnsiTheme="minorHAnsi" w:cstheme="minorHAnsi"/>
                <w:color w:val="333333"/>
              </w:rPr>
              <w:t>adresse:</w:t>
            </w:r>
            <w:hyperlink r:id="rId17" w:history="1">
              <w:r w:rsidRPr="009621F1">
                <w:rPr>
                  <w:rStyle w:val="Hyperkopling"/>
                  <w:rFonts w:asciiTheme="minorHAnsi" w:hAnsiTheme="minorHAnsi" w:cstheme="minorHAnsi"/>
                  <w:color w:val="026F9C"/>
                </w:rPr>
                <w:t>http</w:t>
              </w:r>
              <w:proofErr w:type="spellEnd"/>
              <w:r w:rsidRPr="009621F1">
                <w:rPr>
                  <w:rStyle w:val="Hyperkopling"/>
                  <w:rFonts w:asciiTheme="minorHAnsi" w:hAnsiTheme="minorHAnsi" w:cstheme="minorHAnsi"/>
                  <w:color w:val="026F9C"/>
                </w:rPr>
                <w:t>://www.uib.no/kj/utdanning/obligatorisk-</w:t>
              </w:r>
              <w:r w:rsidRPr="009621F1">
                <w:rPr>
                  <w:rStyle w:val="Hyperkopling"/>
                  <w:rFonts w:asciiTheme="minorHAnsi" w:hAnsiTheme="minorHAnsi" w:cstheme="minorHAnsi"/>
                  <w:color w:val="026F9C"/>
                </w:rPr>
                <w:lastRenderedPageBreak/>
                <w:t>hms-kurs</w:t>
              </w:r>
            </w:hyperlink>
          </w:p>
        </w:tc>
      </w:tr>
      <w:tr w:rsidR="00786679" w:rsidRPr="00786679" w:rsidTr="00786679">
        <w:trPr>
          <w:trHeight w:val="267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Vurderingsformer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5B61C0">
            <w:pPr>
              <w:ind w:left="152" w:right="142"/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</w:pPr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  <w:t xml:space="preserve">Skriftleg eksamen (4t). </w:t>
            </w:r>
          </w:p>
          <w:p w:rsidR="00786679" w:rsidRDefault="00786679" w:rsidP="005B61C0">
            <w:pPr>
              <w:ind w:left="152" w:right="142"/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</w:pPr>
            <w:r w:rsidRPr="009621F1"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  <w:t>Obligatoriske innleveringar må leverast innan fastsette fristar for å få obligatoriske aktivitetar godkjende og for å få tilgang til avsluttande eksamen i emnet.</w:t>
            </w:r>
          </w:p>
          <w:p w:rsidR="00786679" w:rsidRDefault="00786679" w:rsidP="005B61C0">
            <w:pPr>
              <w:ind w:left="152" w:right="142"/>
              <w:rPr>
                <w:rFonts w:asciiTheme="minorHAnsi" w:hAnsiTheme="minorHAnsi" w:cstheme="minorHAnsi"/>
                <w:color w:val="333333"/>
                <w:shd w:val="clear" w:color="auto" w:fill="FFFFFF"/>
                <w:lang w:val="nn-NO"/>
              </w:rPr>
            </w:pPr>
          </w:p>
          <w:p w:rsidR="00786679" w:rsidRPr="009621F1" w:rsidRDefault="00786679" w:rsidP="005B61C0">
            <w:pPr>
              <w:ind w:left="152" w:right="142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86679" w:rsidRPr="005474E7" w:rsidTr="00786679">
        <w:trPr>
          <w:trHeight w:val="140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786679" w:rsidRPr="009621F1" w:rsidTr="00425D71">
              <w:trPr>
                <w:trHeight w:val="2897"/>
              </w:trPr>
              <w:tc>
                <w:tcPr>
                  <w:tcW w:w="5946" w:type="dxa"/>
                </w:tcPr>
                <w:p w:rsidR="00786679" w:rsidRPr="009621F1" w:rsidRDefault="00786679" w:rsidP="00656634">
                  <w:pPr>
                    <w:pStyle w:val="Listeavsnitt"/>
                    <w:numPr>
                      <w:ilvl w:val="0"/>
                      <w:numId w:val="12"/>
                    </w:numPr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lang w:val="nb-NO"/>
                    </w:rPr>
                  </w:pPr>
                  <w:r w:rsidRPr="009621F1">
                    <w:rPr>
                      <w:rFonts w:asciiTheme="minorHAnsi" w:hAnsiTheme="minorHAnsi" w:cstheme="minorHAnsi"/>
                      <w:bCs/>
                      <w:lang w:val="nb-NO"/>
                    </w:rPr>
                    <w:t xml:space="preserve">Enkel kalkulator tillatt, i samsvar med modeller angitt i fakultetets regler </w:t>
                  </w:r>
                </w:p>
                <w:p w:rsidR="00786679" w:rsidRPr="009621F1" w:rsidRDefault="00786679" w:rsidP="0062257B">
                  <w:pPr>
                    <w:spacing w:after="0" w:line="272" w:lineRule="exact"/>
                    <w:ind w:left="142" w:right="142"/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</w:pPr>
                  <w:r w:rsidRPr="009621F1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b)  Book of Data. Nuffield Advanced Science.</w:t>
                  </w:r>
                </w:p>
                <w:p w:rsidR="00786679" w:rsidRPr="009621F1" w:rsidRDefault="00786679" w:rsidP="0062257B">
                  <w:pPr>
                    <w:spacing w:after="0" w:line="272" w:lineRule="exact"/>
                    <w:ind w:left="142" w:right="142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786679" w:rsidRPr="009621F1" w:rsidRDefault="00786679" w:rsidP="0062257B">
                  <w:pPr>
                    <w:spacing w:after="0" w:line="272" w:lineRule="exact"/>
                    <w:ind w:left="142" w:right="142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9621F1">
                    <w:rPr>
                      <w:rFonts w:asciiTheme="minorHAnsi" w:hAnsiTheme="minorHAnsi" w:cstheme="minorHAnsi"/>
                      <w:bCs/>
                      <w:i/>
                    </w:rPr>
                    <w:t>[If calculator:</w:t>
                  </w:r>
                </w:p>
                <w:p w:rsidR="00786679" w:rsidRDefault="00786679" w:rsidP="00656634">
                  <w:pPr>
                    <w:pStyle w:val="Listeavsnitt"/>
                    <w:numPr>
                      <w:ilvl w:val="0"/>
                      <w:numId w:val="14"/>
                    </w:numPr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</w:rPr>
                  </w:pPr>
                  <w:r w:rsidRPr="009621F1">
                    <w:rPr>
                      <w:rFonts w:asciiTheme="minorHAnsi" w:hAnsiTheme="minorHAnsi" w:cstheme="minorHAnsi"/>
                      <w:bCs/>
                    </w:rPr>
                    <w:t>Non-programmable calculator, according to the faculty regulations</w:t>
                  </w:r>
                </w:p>
                <w:p w:rsidR="00786679" w:rsidRPr="009621F1" w:rsidRDefault="00786679" w:rsidP="009621F1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786679" w:rsidRPr="009621F1" w:rsidRDefault="00786679" w:rsidP="009621F1">
                  <w:pPr>
                    <w:ind w:left="-98" w:firstLine="98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</w:t>
                  </w:r>
                  <w:r w:rsidRPr="009621F1">
                    <w:rPr>
                      <w:rFonts w:asciiTheme="minorHAnsi" w:hAnsiTheme="minorHAnsi" w:cstheme="minorHAnsi"/>
                      <w:shd w:val="clear" w:color="auto" w:fill="FFFFFF"/>
                    </w:rPr>
                    <w:t>b)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   </w:t>
                  </w:r>
                  <w:r w:rsidRPr="009621F1">
                    <w:rPr>
                      <w:rFonts w:asciiTheme="minorHAnsi" w:hAnsiTheme="minorHAnsi" w:cstheme="minorHAnsi"/>
                      <w:shd w:val="clear" w:color="auto" w:fill="FFFFFF"/>
                    </w:rPr>
                    <w:t>Book of Data. Nuffield Advanced Science.</w:t>
                  </w:r>
                </w:p>
              </w:tc>
            </w:tr>
          </w:tbl>
          <w:p w:rsidR="00786679" w:rsidRPr="009621F1" w:rsidRDefault="00786679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eastAsia="SimSun" w:hAnsiTheme="minorHAnsi" w:cstheme="minorHAnsi"/>
                <w:i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 xml:space="preserve">Ved sensur vert karakterskalaen A-F nytta. </w:t>
            </w:r>
            <w:r w:rsidRPr="009621F1">
              <w:rPr>
                <w:rFonts w:asciiTheme="minorHAnsi" w:hAnsiTheme="minorHAnsi" w:cstheme="minorHAnsi"/>
                <w:i/>
              </w:rPr>
              <w:t>[</w:t>
            </w:r>
            <w:r w:rsidRPr="009621F1">
              <w:rPr>
                <w:rFonts w:asciiTheme="minorHAnsi" w:eastAsia="SimSun" w:hAnsiTheme="minorHAnsi" w:cstheme="minorHAnsi"/>
                <w:i/>
              </w:rPr>
              <w:t>The grading scale used is A to F. Grade A is the highest passing grade in the grading scale, grade F is a fail.]</w:t>
            </w:r>
          </w:p>
          <w:p w:rsidR="00786679" w:rsidRPr="00786679" w:rsidRDefault="00786679" w:rsidP="0062257B">
            <w:pPr>
              <w:ind w:left="142" w:right="142"/>
              <w:rPr>
                <w:rFonts w:asciiTheme="minorHAnsi" w:eastAsia="SimSun" w:hAnsiTheme="minorHAnsi" w:cstheme="minorHAnsi"/>
                <w:i/>
              </w:rPr>
            </w:pPr>
          </w:p>
        </w:tc>
      </w:tr>
      <w:tr w:rsidR="00786679" w:rsidRPr="00431AB6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786679" w:rsidRPr="003C032B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786679" w:rsidRPr="009621F1" w:rsidRDefault="00786679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theme="minorHAnsi"/>
                <w:lang w:eastAsia="nb-NO"/>
              </w:rPr>
            </w:pPr>
            <w:r w:rsidRPr="009621F1">
              <w:rPr>
                <w:rFonts w:asciiTheme="minorHAnsi" w:hAnsiTheme="minorHAnsi" w:cstheme="minorHAnsi"/>
                <w:lang w:eastAsia="nb-NO"/>
              </w:rPr>
              <w:t>[Examination both spring semester and autumn semester. In semesters without teaching the examination will be arranged at the beginning of the semester.]</w:t>
            </w:r>
          </w:p>
        </w:tc>
      </w:tr>
      <w:tr w:rsidR="00786679" w:rsidRPr="00786679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>Litteraturlista vil vere klar innan 01.06. for haustsemesteret og  01.01. for vårsemesteret.</w:t>
            </w:r>
          </w:p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</w:p>
          <w:p w:rsidR="00786679" w:rsidRPr="009621F1" w:rsidRDefault="00786679" w:rsidP="006C487F">
            <w:pPr>
              <w:ind w:left="142" w:right="142"/>
              <w:rPr>
                <w:rFonts w:asciiTheme="minorHAnsi" w:hAnsiTheme="minorHAnsi" w:cstheme="minorHAnsi"/>
                <w:i/>
              </w:rPr>
            </w:pPr>
            <w:r w:rsidRPr="009621F1">
              <w:rPr>
                <w:rFonts w:asciiTheme="minorHAnsi" w:hAnsiTheme="minorHAnsi" w:cstheme="minorHAnsi"/>
                <w:i/>
              </w:rPr>
              <w:lastRenderedPageBreak/>
              <w:t>[The reading list will be available within June 1st for the autumn semester and January 1st for the spring semester]</w:t>
            </w:r>
          </w:p>
        </w:tc>
      </w:tr>
      <w:tr w:rsidR="00786679" w:rsidRPr="00E33BA5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Style w:val="description"/>
                <w:rFonts w:asciiTheme="minorHAnsi" w:hAnsiTheme="minorHAnsi" w:cstheme="minorHAnsi"/>
                <w:i/>
                <w:lang w:val="nn-NO"/>
              </w:rPr>
              <w:t xml:space="preserve">Studentane skal evaluere undervisninga i tråd med </w:t>
            </w:r>
            <w:r w:rsidRPr="009621F1">
              <w:rPr>
                <w:rFonts w:asciiTheme="minorHAnsi" w:hAnsiTheme="minorHAnsi" w:cstheme="minorHAnsi"/>
                <w:i/>
                <w:lang w:val="nn-NO"/>
              </w:rPr>
              <w:t xml:space="preserve">UiB og instituttet </w:t>
            </w:r>
            <w:r w:rsidRPr="009621F1">
              <w:rPr>
                <w:rStyle w:val="description"/>
                <w:rFonts w:asciiTheme="minorHAnsi" w:hAnsiTheme="minorHAnsi" w:cstheme="minorHAnsi"/>
                <w:i/>
                <w:lang w:val="nn-NO"/>
              </w:rPr>
              <w:t xml:space="preserve">sitt kvalitetssikringssystem. </w:t>
            </w:r>
          </w:p>
          <w:p w:rsidR="00786679" w:rsidRPr="009621F1" w:rsidRDefault="0078667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2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[The course will be evaluated by the students in accordance with the quality assurance system at UiB and the department]</w:t>
            </w:r>
          </w:p>
        </w:tc>
      </w:tr>
      <w:tr w:rsidR="00786679" w:rsidRPr="00622176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ind w:left="142" w:right="142"/>
              <w:rPr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>Programstyret har ansvar for fagleg innhald og oppbygging av studiet og for kvaliteten på studieprogrammet og alle emna der.</w:t>
            </w:r>
          </w:p>
          <w:p w:rsidR="00786679" w:rsidRPr="009621F1" w:rsidRDefault="0078667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21F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621F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Programme</w:t>
            </w:r>
            <w:proofErr w:type="spellEnd"/>
            <w:r w:rsidRPr="009621F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9621F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programme</w:t>
            </w:r>
            <w:proofErr w:type="spellEnd"/>
            <w:r w:rsidRPr="009621F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and courses. </w:t>
            </w:r>
          </w:p>
        </w:tc>
      </w:tr>
      <w:tr w:rsidR="00786679" w:rsidRPr="00A76CAD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786679" w:rsidRPr="00D13CD7" w:rsidRDefault="0078667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5B61C0">
            <w:pPr>
              <w:ind w:left="142" w:right="142"/>
              <w:rPr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 xml:space="preserve">Emneansvarleg og administrativ kontaktperson finn du på Mitt UiB, kontakt eventuelt </w:t>
            </w:r>
            <w:hyperlink r:id="rId18" w:history="1">
              <w:r w:rsidRPr="009621F1">
                <w:rPr>
                  <w:rStyle w:val="Hyperkopling"/>
                  <w:rFonts w:asciiTheme="minorHAnsi" w:hAnsiTheme="minorHAnsi" w:cstheme="minorHAnsi"/>
                  <w:i/>
                  <w:lang w:val="nn-NO"/>
                </w:rPr>
                <w:t>Studierettleiar@kj.uib.no</w:t>
              </w:r>
            </w:hyperlink>
          </w:p>
        </w:tc>
      </w:tr>
      <w:tr w:rsidR="00786679" w:rsidRPr="00A76CAD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5B61C0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>Det matematisk-naturvitskaplege fakultet v/ Kjemisk institutt har det administrative ansvaret for emnet og studieprogrammet.</w:t>
            </w:r>
          </w:p>
        </w:tc>
      </w:tr>
      <w:tr w:rsidR="00786679" w:rsidRPr="00D95138" w:rsidTr="0078667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86679" w:rsidRPr="00D13CD7" w:rsidRDefault="0078667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D13CD7" w:rsidRDefault="0078667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>Studierettleiar kan kontaktast her:</w:t>
            </w:r>
          </w:p>
          <w:p w:rsidR="00786679" w:rsidRPr="009621F1" w:rsidRDefault="0078667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lang w:val="nn-NO"/>
              </w:rPr>
            </w:pPr>
            <w:r w:rsidRPr="009621F1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  <w:hyperlink r:id="rId19" w:history="1">
              <w:r w:rsidRPr="009621F1">
                <w:rPr>
                  <w:rStyle w:val="Hyperkopling"/>
                  <w:rFonts w:asciiTheme="minorHAnsi" w:hAnsiTheme="minorHAnsi" w:cstheme="minorHAnsi"/>
                  <w:i/>
                  <w:lang w:val="nn-NO"/>
                </w:rPr>
                <w:t>Studierettleiar@kj.uib.no</w:t>
              </w:r>
            </w:hyperlink>
          </w:p>
          <w:p w:rsidR="00786679" w:rsidRPr="009621F1" w:rsidRDefault="00786679" w:rsidP="005B61C0">
            <w:pPr>
              <w:ind w:left="142" w:right="142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9621F1">
              <w:rPr>
                <w:rFonts w:asciiTheme="minorHAnsi" w:hAnsiTheme="minorHAnsi" w:cstheme="minorHAnsi"/>
                <w:i/>
                <w:lang w:val="nn-NO"/>
              </w:rPr>
              <w:t>Tlf</w:t>
            </w:r>
            <w:proofErr w:type="spellEnd"/>
            <w:r w:rsidRPr="009621F1">
              <w:rPr>
                <w:rFonts w:asciiTheme="minorHAnsi" w:hAnsiTheme="minorHAnsi" w:cstheme="minorHAnsi"/>
                <w:i/>
                <w:lang w:val="nn-NO"/>
              </w:rPr>
              <w:t xml:space="preserve"> 55 58 34 45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786679" w:rsidRDefault="00786679" w:rsidP="00EF7272">
      <w:pPr>
        <w:widowControl/>
        <w:rPr>
          <w:rFonts w:asciiTheme="minorHAnsi" w:hAnsiTheme="minorHAnsi" w:cstheme="minorHAnsi"/>
          <w:highlight w:val="yellow"/>
          <w:lang w:val="nn-NO"/>
        </w:rPr>
      </w:pPr>
    </w:p>
    <w:p w:rsidR="003F6242" w:rsidRPr="00A76CAD" w:rsidRDefault="00622176" w:rsidP="00EF7272">
      <w:pPr>
        <w:widowControl/>
        <w:rPr>
          <w:rFonts w:asciiTheme="minorHAnsi" w:hAnsiTheme="minorHAnsi" w:cstheme="minorHAnsi"/>
          <w:lang w:val="nn-NO"/>
        </w:rPr>
      </w:pPr>
      <w:proofErr w:type="spellStart"/>
      <w:r w:rsidRPr="00622176">
        <w:rPr>
          <w:rFonts w:asciiTheme="minorHAnsi" w:hAnsiTheme="minorHAnsi" w:cstheme="minorHAnsi"/>
          <w:highlight w:val="yellow"/>
          <w:lang w:val="nn-NO"/>
        </w:rPr>
        <w:t>F</w:t>
      </w:r>
      <w:r w:rsidR="003F6242" w:rsidRPr="00622176">
        <w:rPr>
          <w:rFonts w:asciiTheme="minorHAnsi" w:hAnsiTheme="minorHAnsi" w:cstheme="minorHAnsi"/>
          <w:highlight w:val="yellow"/>
          <w:lang w:val="nn-NO"/>
        </w:rPr>
        <w:t>orsi</w:t>
      </w:r>
      <w:r w:rsidRPr="00622176">
        <w:rPr>
          <w:rFonts w:asciiTheme="minorHAnsi" w:hAnsiTheme="minorHAnsi" w:cstheme="minorHAnsi"/>
          <w:highlight w:val="yellow"/>
          <w:lang w:val="nn-NO"/>
        </w:rPr>
        <w:t>de</w:t>
      </w:r>
      <w:proofErr w:type="spellEnd"/>
      <w:r w:rsidRPr="00622176">
        <w:rPr>
          <w:rFonts w:asciiTheme="minorHAnsi" w:hAnsiTheme="minorHAnsi" w:cstheme="minorHAnsi"/>
          <w:highlight w:val="yellow"/>
          <w:lang w:val="nn-NO"/>
        </w:rPr>
        <w:t xml:space="preserve"> til emnebeskrivinga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………………………………………………………….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på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20"/>
      <w:footerReference w:type="default" r:id="rId2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Botntekst"/>
      <w:jc w:val="right"/>
    </w:pPr>
  </w:p>
  <w:p w:rsidR="00237203" w:rsidRDefault="00237203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9621F1">
      <w:rPr>
        <w:lang w:val="nb-NO"/>
      </w:rPr>
      <w:t>KJEM123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84F40C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7676CDC"/>
    <w:multiLevelType w:val="hybridMultilevel"/>
    <w:tmpl w:val="FB04519C"/>
    <w:lvl w:ilvl="0" w:tplc="0814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950D9"/>
    <w:multiLevelType w:val="hybridMultilevel"/>
    <w:tmpl w:val="A8C2C59E"/>
    <w:lvl w:ilvl="0" w:tplc="9C2854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4F89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B61C0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335C"/>
    <w:rsid w:val="00745A66"/>
    <w:rsid w:val="0075425A"/>
    <w:rsid w:val="007602A1"/>
    <w:rsid w:val="00762548"/>
    <w:rsid w:val="00782E2B"/>
    <w:rsid w:val="00786679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21F1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5138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character" w:customStyle="1" w:styleId="apple-converted-space">
    <w:name w:val="apple-converted-space"/>
    <w:basedOn w:val="Standardskriftforavsnitt"/>
    <w:rsid w:val="005B61C0"/>
  </w:style>
  <w:style w:type="paragraph" w:styleId="NormalWeb">
    <w:name w:val="Normal (Web)"/>
    <w:basedOn w:val="Normal"/>
    <w:uiPriority w:val="99"/>
    <w:semiHidden/>
    <w:unhideWhenUsed/>
    <w:rsid w:val="007433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n-NO"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character" w:customStyle="1" w:styleId="apple-converted-space">
    <w:name w:val="apple-converted-space"/>
    <w:basedOn w:val="Standardskriftforavsnitt"/>
    <w:rsid w:val="005B61C0"/>
  </w:style>
  <w:style w:type="paragraph" w:styleId="NormalWeb">
    <w:name w:val="Normal (Web)"/>
    <w:basedOn w:val="Normal"/>
    <w:uiPriority w:val="99"/>
    <w:semiHidden/>
    <w:unhideWhenUsed/>
    <w:rsid w:val="007433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ib.no/matnat/utdanning/studiehverdag/undervisningsopptaket" TargetMode="External"/><Relationship Id="rId18" Type="http://schemas.openxmlformats.org/officeDocument/2006/relationships/hyperlink" Target="mailto:Studierettleiar@kj.uib.n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ib.no/matnat/utdanning/studiehverdag/undervisningsopptaket" TargetMode="External"/><Relationship Id="rId17" Type="http://schemas.openxmlformats.org/officeDocument/2006/relationships/hyperlink" Target="http://www.uib.no/kj/utdanning/obligatorisk-hms-ku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b.no/matnat/52646/opptak-ved-mn-fakultet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b.no/studiekvalit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ib.no/nb/emne/KJEM1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nk.uib.no/?YoXx" TargetMode="External"/><Relationship Id="rId19" Type="http://schemas.openxmlformats.org/officeDocument/2006/relationships/hyperlink" Target="mailto:Studierettleiar@kj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.uib.no/?21Vcl" TargetMode="External"/><Relationship Id="rId14" Type="http://schemas.openxmlformats.org/officeDocument/2006/relationships/hyperlink" Target="http://www.uib.no/nb/emne/KJEM1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AAD1-5F17-4619-8D56-A3A543E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BE2E6C8F.dotm</Template>
  <TotalTime>22</TotalTime>
  <Pages>8</Pages>
  <Words>1303</Words>
  <Characters>9667</Characters>
  <Application>Microsoft Office Word</Application>
  <DocSecurity>0</DocSecurity>
  <Lines>80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Unni Lange</cp:lastModifiedBy>
  <cp:revision>4</cp:revision>
  <cp:lastPrinted>2014-11-06T13:45:00Z</cp:lastPrinted>
  <dcterms:created xsi:type="dcterms:W3CDTF">2017-02-06T07:58:00Z</dcterms:created>
  <dcterms:modified xsi:type="dcterms:W3CDTF">2017-02-09T10:50:00Z</dcterms:modified>
</cp:coreProperties>
</file>