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6C" w:rsidRDefault="0099736C" w:rsidP="00C93516">
      <w:pPr>
        <w:sectPr w:rsidR="0099736C" w:rsidSect="00DA300A">
          <w:headerReference w:type="default" r:id="rId7"/>
          <w:headerReference w:type="first" r:id="rId8"/>
          <w:footerReference w:type="first" r:id="rId9"/>
          <w:pgSz w:w="11906" w:h="16838" w:code="9"/>
          <w:pgMar w:top="680" w:right="1133" w:bottom="1134" w:left="1701" w:header="680" w:footer="720" w:gutter="0"/>
          <w:cols w:space="720"/>
          <w:titlePg/>
        </w:sectPr>
      </w:pPr>
      <w:bookmarkStart w:id="10" w:name="_GoBack"/>
      <w:bookmarkEnd w:id="10"/>
    </w:p>
    <w:p w:rsidR="0099736C" w:rsidRPr="000D30DE" w:rsidRDefault="0099736C" w:rsidP="007B061C"/>
    <w:p w:rsidR="00856979" w:rsidRPr="006B5E04" w:rsidRDefault="00856979" w:rsidP="006B5E04">
      <w:pPr>
        <w:rPr>
          <w:color w:val="auto"/>
        </w:rPr>
      </w:pPr>
      <w:r w:rsidRPr="006B5E04">
        <w:rPr>
          <w:color w:val="auto"/>
        </w:rPr>
        <w:t>Fakultet, institutt og sentre</w:t>
      </w:r>
    </w:p>
    <w:p w:rsidR="00856979" w:rsidRPr="006B5E04" w:rsidRDefault="00856979" w:rsidP="006B5E04">
      <w:pPr>
        <w:rPr>
          <w:color w:val="auto"/>
        </w:rPr>
      </w:pPr>
      <w:r w:rsidRPr="006B5E04">
        <w:rPr>
          <w:color w:val="auto"/>
        </w:rPr>
        <w:t>Universitetsmuseet</w:t>
      </w:r>
      <w:r w:rsidRPr="006B5E04">
        <w:rPr>
          <w:color w:val="auto"/>
        </w:rPr>
        <w:br/>
        <w:t>Universitetsbiblioteket</w:t>
      </w:r>
      <w:r w:rsidRPr="006B5E04">
        <w:rPr>
          <w:color w:val="auto"/>
        </w:rPr>
        <w:br/>
        <w:t>Avdelinger i sentraladministrasjonen</w:t>
      </w:r>
    </w:p>
    <w:p w:rsidR="00856979" w:rsidRPr="006B5E04" w:rsidRDefault="00856979" w:rsidP="006B5E04">
      <w:pPr>
        <w:rPr>
          <w:color w:val="auto"/>
        </w:rPr>
      </w:pPr>
    </w:p>
    <w:p w:rsidR="00856979" w:rsidRDefault="00856979" w:rsidP="0099736C">
      <w:pPr>
        <w:pStyle w:val="Fortekstliten"/>
        <w:rPr>
          <w:rStyle w:val="AdressefeltTegn"/>
          <w:sz w:val="18"/>
          <w:szCs w:val="18"/>
          <w:lang w:val="nn-NO"/>
        </w:rPr>
      </w:pPr>
    </w:p>
    <w:p w:rsidR="00856979" w:rsidRDefault="00856979" w:rsidP="0099736C">
      <w:pPr>
        <w:pStyle w:val="Fortekstliten"/>
        <w:rPr>
          <w:rStyle w:val="AdressefeltTegn"/>
          <w:sz w:val="18"/>
          <w:szCs w:val="18"/>
          <w:lang w:val="nn-NO"/>
        </w:rPr>
      </w:pPr>
    </w:p>
    <w:p w:rsidR="00856979" w:rsidRPr="00856979" w:rsidRDefault="00856979" w:rsidP="0099736C">
      <w:pPr>
        <w:pStyle w:val="Fortekstliten"/>
        <w:rPr>
          <w:rStyle w:val="AdressefeltTegn"/>
          <w:sz w:val="18"/>
          <w:szCs w:val="18"/>
          <w:lang w:val="nn-NO"/>
        </w:rPr>
      </w:pPr>
    </w:p>
    <w:p w:rsidR="0099736C" w:rsidRPr="00856979" w:rsidRDefault="0099736C" w:rsidP="0099736C">
      <w:pPr>
        <w:pStyle w:val="Fortekstliten"/>
        <w:rPr>
          <w:color w:val="auto"/>
          <w:sz w:val="22"/>
          <w:lang w:val="nn-NO"/>
        </w:rPr>
      </w:pPr>
      <w:r w:rsidRPr="00856979">
        <w:rPr>
          <w:color w:val="auto"/>
          <w:sz w:val="22"/>
          <w:lang w:val="nn-NO"/>
        </w:rPr>
        <w:tab/>
      </w:r>
    </w:p>
    <w:tbl>
      <w:tblPr>
        <w:tblpPr w:leftFromText="142" w:rightFromText="142" w:bottomFromText="40" w:vertAnchor="text" w:horzAnchor="margin" w:tblpY="1"/>
        <w:tblOverlap w:val="never"/>
        <w:tblW w:w="0" w:type="auto"/>
        <w:tblLook w:val="01E0" w:firstRow="1" w:lastRow="1" w:firstColumn="1" w:lastColumn="1" w:noHBand="0" w:noVBand="0"/>
      </w:tblPr>
      <w:tblGrid>
        <w:gridCol w:w="6041"/>
        <w:gridCol w:w="3031"/>
      </w:tblGrid>
      <w:tr w:rsidR="009C1687" w:rsidRPr="00856979" w:rsidTr="002A0E97">
        <w:trPr>
          <w:trHeight w:val="404"/>
        </w:trPr>
        <w:tc>
          <w:tcPr>
            <w:tcW w:w="6199" w:type="dxa"/>
            <w:shd w:val="clear" w:color="auto" w:fill="auto"/>
          </w:tcPr>
          <w:p w:rsidR="009C1687" w:rsidRPr="00856979" w:rsidRDefault="009C1687" w:rsidP="00CF068A">
            <w:pPr>
              <w:pStyle w:val="Adressefelt"/>
              <w:rPr>
                <w:lang w:val="nn-NO"/>
              </w:rPr>
            </w:pPr>
            <w:r w:rsidRPr="00856979">
              <w:rPr>
                <w:rStyle w:val="AdressefeltTegn"/>
                <w:sz w:val="18"/>
                <w:szCs w:val="18"/>
                <w:lang w:val="nn-NO"/>
              </w:rPr>
              <w:t>Referanse</w:t>
            </w:r>
          </w:p>
        </w:tc>
        <w:tc>
          <w:tcPr>
            <w:tcW w:w="3089" w:type="dxa"/>
            <w:shd w:val="clear" w:color="auto" w:fill="auto"/>
          </w:tcPr>
          <w:p w:rsidR="009C1687" w:rsidRPr="00856979" w:rsidRDefault="009C1687" w:rsidP="00CF068A">
            <w:pPr>
              <w:pStyle w:val="Adressefelt"/>
              <w:rPr>
                <w:lang w:val="nn-NO"/>
              </w:rPr>
            </w:pPr>
            <w:r w:rsidRPr="00856979">
              <w:rPr>
                <w:rStyle w:val="AdressefeltTegn"/>
                <w:sz w:val="18"/>
                <w:szCs w:val="18"/>
                <w:lang w:val="nn-NO"/>
              </w:rPr>
              <w:t>Dato</w:t>
            </w:r>
          </w:p>
        </w:tc>
      </w:tr>
      <w:tr w:rsidR="009C1687" w:rsidRPr="00856979" w:rsidTr="002A0E97">
        <w:tc>
          <w:tcPr>
            <w:tcW w:w="6199" w:type="dxa"/>
            <w:shd w:val="clear" w:color="auto" w:fill="auto"/>
          </w:tcPr>
          <w:p w:rsidR="009C1687" w:rsidRPr="00856979" w:rsidRDefault="00671DC9" w:rsidP="00CF068A">
            <w:pPr>
              <w:pStyle w:val="Adressefelt"/>
              <w:rPr>
                <w:lang w:val="nn-NO"/>
              </w:rPr>
            </w:pPr>
            <w:bookmarkStart w:id="11" w:name="SAKSNR"/>
            <w:r w:rsidRPr="00856979">
              <w:rPr>
                <w:lang w:val="nn-NO"/>
              </w:rPr>
              <w:t>2017/1722</w:t>
            </w:r>
            <w:bookmarkEnd w:id="11"/>
            <w:r w:rsidR="009C1687" w:rsidRPr="00856979">
              <w:rPr>
                <w:lang w:val="nn-NO"/>
              </w:rPr>
              <w:t>-</w:t>
            </w:r>
            <w:bookmarkStart w:id="12" w:name="SAKSBEHANDLERKODE"/>
            <w:r w:rsidRPr="00856979">
              <w:rPr>
                <w:lang w:val="nn-NO"/>
              </w:rPr>
              <w:t>LIG</w:t>
            </w:r>
            <w:bookmarkEnd w:id="12"/>
          </w:p>
        </w:tc>
        <w:tc>
          <w:tcPr>
            <w:tcW w:w="3089" w:type="dxa"/>
            <w:shd w:val="clear" w:color="auto" w:fill="auto"/>
          </w:tcPr>
          <w:p w:rsidR="009C1687" w:rsidRPr="00856979" w:rsidRDefault="006B5E04" w:rsidP="006B5E04">
            <w:pPr>
              <w:pStyle w:val="Adressefelt"/>
              <w:rPr>
                <w:lang w:val="nn-NO"/>
              </w:rPr>
            </w:pPr>
            <w:bookmarkStart w:id="13" w:name="BREVDATO"/>
            <w:r>
              <w:rPr>
                <w:lang w:val="nn-NO"/>
              </w:rPr>
              <w:t>19</w:t>
            </w:r>
            <w:r w:rsidR="00671DC9" w:rsidRPr="00856979">
              <w:rPr>
                <w:lang w:val="nn-NO"/>
              </w:rPr>
              <w:t>.0</w:t>
            </w:r>
            <w:r w:rsidR="004D438C">
              <w:rPr>
                <w:lang w:val="nn-NO"/>
              </w:rPr>
              <w:t>6</w:t>
            </w:r>
            <w:r w:rsidR="00671DC9" w:rsidRPr="00856979">
              <w:rPr>
                <w:lang w:val="nn-NO"/>
              </w:rPr>
              <w:t>.2017</w:t>
            </w:r>
            <w:bookmarkEnd w:id="13"/>
          </w:p>
        </w:tc>
      </w:tr>
      <w:tr w:rsidR="002A0E97" w:rsidRPr="00856979" w:rsidTr="002A0E97">
        <w:tc>
          <w:tcPr>
            <w:tcW w:w="6199" w:type="dxa"/>
            <w:shd w:val="clear" w:color="auto" w:fill="auto"/>
          </w:tcPr>
          <w:p w:rsidR="002A0E97" w:rsidRPr="00856979" w:rsidRDefault="002A0E97" w:rsidP="00CF068A">
            <w:pPr>
              <w:pStyle w:val="Adressefelt"/>
              <w:rPr>
                <w:lang w:val="nn-NO"/>
              </w:rPr>
            </w:pPr>
          </w:p>
        </w:tc>
        <w:tc>
          <w:tcPr>
            <w:tcW w:w="3089" w:type="dxa"/>
            <w:shd w:val="clear" w:color="auto" w:fill="auto"/>
          </w:tcPr>
          <w:p w:rsidR="002A0E97" w:rsidRPr="00856979" w:rsidRDefault="002A0E97" w:rsidP="00CF068A">
            <w:pPr>
              <w:pStyle w:val="Adressefelt"/>
              <w:rPr>
                <w:lang w:val="nn-NO"/>
              </w:rPr>
            </w:pPr>
          </w:p>
        </w:tc>
      </w:tr>
      <w:tr w:rsidR="002A0E97" w:rsidRPr="00856979" w:rsidTr="002A0E97">
        <w:tc>
          <w:tcPr>
            <w:tcW w:w="9288" w:type="dxa"/>
            <w:gridSpan w:val="2"/>
            <w:shd w:val="clear" w:color="auto" w:fill="auto"/>
          </w:tcPr>
          <w:p w:rsidR="002A0E97" w:rsidRPr="00856979" w:rsidRDefault="002A0E97" w:rsidP="002A0E97">
            <w:pPr>
              <w:pStyle w:val="Adressefelt"/>
              <w:jc w:val="right"/>
              <w:rPr>
                <w:lang w:val="nn-NO"/>
              </w:rPr>
            </w:pPr>
            <w:bookmarkStart w:id="14" w:name="UOFFPARAGRAF"/>
            <w:bookmarkEnd w:id="14"/>
          </w:p>
        </w:tc>
      </w:tr>
    </w:tbl>
    <w:p w:rsidR="00EB1851" w:rsidRPr="0006453C" w:rsidRDefault="0006453C" w:rsidP="00236477">
      <w:pPr>
        <w:spacing w:after="120" w:line="240" w:lineRule="auto"/>
        <w:rPr>
          <w:b/>
          <w:color w:val="auto"/>
          <w:sz w:val="28"/>
          <w:szCs w:val="28"/>
        </w:rPr>
      </w:pPr>
      <w:bookmarkStart w:id="15" w:name="TITTEL"/>
      <w:r w:rsidRPr="0006453C">
        <w:rPr>
          <w:b/>
          <w:color w:val="auto"/>
          <w:sz w:val="28"/>
          <w:szCs w:val="28"/>
        </w:rPr>
        <w:t>Tiltak for å redusere omfanget av midlertidige ansettelsesforhold – tilpasninger til varslet lovendring – melding om vedtak</w:t>
      </w:r>
      <w:bookmarkEnd w:id="15"/>
    </w:p>
    <w:p w:rsidR="00361826" w:rsidRDefault="0006453C" w:rsidP="009801B2">
      <w:pPr>
        <w:rPr>
          <w:color w:val="auto"/>
        </w:rPr>
      </w:pPr>
      <w:bookmarkStart w:id="16" w:name="START"/>
      <w:bookmarkEnd w:id="16"/>
      <w:r>
        <w:rPr>
          <w:color w:val="auto"/>
        </w:rPr>
        <w:t xml:space="preserve">Universitetsstyret behandlet i møte 1. juni, sak </w:t>
      </w:r>
      <w:r w:rsidR="004D438C">
        <w:rPr>
          <w:color w:val="auto"/>
        </w:rPr>
        <w:t>65/</w:t>
      </w:r>
      <w:r>
        <w:rPr>
          <w:color w:val="auto"/>
        </w:rPr>
        <w:t>17 ovennevnte sak. Det ble gjort følgende vedtak:</w:t>
      </w:r>
    </w:p>
    <w:p w:rsidR="0006453C" w:rsidRDefault="0006453C" w:rsidP="009801B2">
      <w:pPr>
        <w:rPr>
          <w:color w:val="auto"/>
        </w:rPr>
      </w:pPr>
    </w:p>
    <w:p w:rsidR="0006453C" w:rsidRPr="00924FB9" w:rsidRDefault="0006453C" w:rsidP="0006453C">
      <w:pPr>
        <w:numPr>
          <w:ilvl w:val="0"/>
          <w:numId w:val="1"/>
        </w:numPr>
        <w:spacing w:after="0" w:line="240" w:lineRule="exact"/>
        <w:rPr>
          <w:i/>
        </w:rPr>
      </w:pPr>
      <w:r w:rsidRPr="00924FB9">
        <w:rPr>
          <w:i/>
        </w:rPr>
        <w:t xml:space="preserve">Universitetsstyret slutter seg til forslagene til innstramming i adgangen til midlertidige ansettelse som er omtalt i denne saken. Styret ser forslagene som en nødvendig tilpasning til de varslete lovendringene i ny lov om statsansatte. </w:t>
      </w:r>
    </w:p>
    <w:p w:rsidR="0006453C" w:rsidRPr="00924FB9" w:rsidRDefault="0006453C" w:rsidP="0006453C">
      <w:pPr>
        <w:spacing w:after="0" w:line="240" w:lineRule="exact"/>
        <w:rPr>
          <w:i/>
        </w:rPr>
      </w:pPr>
    </w:p>
    <w:p w:rsidR="0006453C" w:rsidRPr="00924FB9" w:rsidRDefault="0006453C" w:rsidP="0006453C">
      <w:pPr>
        <w:numPr>
          <w:ilvl w:val="0"/>
          <w:numId w:val="1"/>
        </w:numPr>
        <w:spacing w:after="0" w:line="240" w:lineRule="exact"/>
        <w:rPr>
          <w:i/>
        </w:rPr>
      </w:pPr>
      <w:r w:rsidRPr="00924FB9">
        <w:rPr>
          <w:i/>
        </w:rPr>
        <w:t>Hovedregelen ved UiB skal være fast ansettelse, også i eksternt finansierte prosjekter. Unntak fra dette må kun gjelde oppdrag som er av klart kortvarig karakter eller for en kortvarig periode og der det ikke er utsikter til forlengelse.</w:t>
      </w:r>
    </w:p>
    <w:p w:rsidR="0006453C" w:rsidRPr="00924FB9" w:rsidRDefault="0006453C" w:rsidP="0006453C">
      <w:pPr>
        <w:spacing w:after="0" w:line="240" w:lineRule="exact"/>
        <w:rPr>
          <w:i/>
        </w:rPr>
      </w:pPr>
    </w:p>
    <w:p w:rsidR="0006453C" w:rsidRPr="00924FB9" w:rsidRDefault="0006453C" w:rsidP="0006453C">
      <w:pPr>
        <w:numPr>
          <w:ilvl w:val="0"/>
          <w:numId w:val="1"/>
        </w:numPr>
        <w:spacing w:after="0" w:line="240" w:lineRule="exact"/>
        <w:rPr>
          <w:i/>
        </w:rPr>
      </w:pPr>
      <w:r w:rsidRPr="00924FB9">
        <w:rPr>
          <w:i/>
        </w:rPr>
        <w:t xml:space="preserve">Styret forutsetter at det ikke gjøres unntak for hovedregelen for administrativt ansatte. For teknisk ansatte gjelder samme hovedregel, og eventuelle unntak må være særskilt faglig begrunnet. Styret ber universitetsdirektøren iverksette rutiner ved utlysning som sikrer at hovedregelen om fast ansettelse blir fulgt opp og som gir muligheter for å vurdere annen passende stilling for ansatte når dette er aktuelt. </w:t>
      </w:r>
    </w:p>
    <w:p w:rsidR="0006453C" w:rsidRPr="00924FB9" w:rsidRDefault="0006453C" w:rsidP="0006453C">
      <w:pPr>
        <w:spacing w:after="0" w:line="240" w:lineRule="exact"/>
        <w:rPr>
          <w:i/>
        </w:rPr>
      </w:pPr>
    </w:p>
    <w:p w:rsidR="0006453C" w:rsidRPr="00924FB9" w:rsidRDefault="0006453C" w:rsidP="0006453C">
      <w:pPr>
        <w:numPr>
          <w:ilvl w:val="0"/>
          <w:numId w:val="1"/>
        </w:numPr>
        <w:spacing w:after="0" w:line="240" w:lineRule="exact"/>
        <w:rPr>
          <w:i/>
        </w:rPr>
      </w:pPr>
      <w:r w:rsidRPr="00924FB9">
        <w:rPr>
          <w:i/>
        </w:rPr>
        <w:t xml:space="preserve">Forskerstillinger knyttet til eksternt finansiert virksomhet skal som hovedregel være faste dersom varigheten er mer enn to år. Stillingene skal som hovedregel lyses ut.  </w:t>
      </w:r>
    </w:p>
    <w:p w:rsidR="0006453C" w:rsidRPr="00924FB9" w:rsidRDefault="0006453C" w:rsidP="0006453C">
      <w:pPr>
        <w:spacing w:after="0" w:line="240" w:lineRule="exact"/>
        <w:rPr>
          <w:i/>
        </w:rPr>
      </w:pPr>
    </w:p>
    <w:p w:rsidR="0006453C" w:rsidRPr="00924FB9" w:rsidRDefault="0006453C" w:rsidP="0006453C">
      <w:pPr>
        <w:numPr>
          <w:ilvl w:val="0"/>
          <w:numId w:val="1"/>
        </w:numPr>
        <w:spacing w:after="0" w:line="240" w:lineRule="exact"/>
        <w:rPr>
          <w:i/>
        </w:rPr>
      </w:pPr>
      <w:r w:rsidRPr="00924FB9">
        <w:rPr>
          <w:i/>
        </w:rPr>
        <w:t xml:space="preserve">Styret forutsetter at ledelsen på alle nivå trekkes tidlig inn i planlegging av ressursbehov i den eksternt finansierte delen av virksomheten og på denne måten bidrar til stabile og forutsigbare ansettelsesforhold. </w:t>
      </w:r>
    </w:p>
    <w:p w:rsidR="0006453C" w:rsidRDefault="0006453C" w:rsidP="0006453C">
      <w:pPr>
        <w:spacing w:after="0" w:line="240" w:lineRule="exact"/>
      </w:pPr>
    </w:p>
    <w:p w:rsidR="00DC6BEC" w:rsidRDefault="00DC6BEC" w:rsidP="00DC6BEC">
      <w:pPr>
        <w:rPr>
          <w:color w:val="auto"/>
        </w:rPr>
      </w:pPr>
      <w:r>
        <w:rPr>
          <w:color w:val="auto"/>
        </w:rPr>
        <w:t xml:space="preserve">De vedtatte endringene vil bli gjort gjeldende fra </w:t>
      </w:r>
      <w:r w:rsidRPr="00DC6BEC">
        <w:rPr>
          <w:b/>
          <w:color w:val="auto"/>
        </w:rPr>
        <w:t>1. august 2017</w:t>
      </w:r>
      <w:r>
        <w:rPr>
          <w:color w:val="auto"/>
        </w:rPr>
        <w:t xml:space="preserve">. Senere i høst vil det bli lagt frem ny sak for styret om justeringer i UiBs personal- og ansettelsesreglement som følge av endringene i lov og forskrift. </w:t>
      </w:r>
      <w:r w:rsidR="0092474A">
        <w:rPr>
          <w:color w:val="auto"/>
        </w:rPr>
        <w:t>Også BOA-reglementet vil bli justert med nye rutiner for å sikre langsiktig planlegging av ressursbehov.</w:t>
      </w:r>
    </w:p>
    <w:p w:rsidR="00DC6BEC" w:rsidRDefault="00DC6BEC" w:rsidP="00DC6BEC">
      <w:pPr>
        <w:rPr>
          <w:color w:val="auto"/>
        </w:rPr>
      </w:pPr>
    </w:p>
    <w:p w:rsidR="00DC6BEC" w:rsidRDefault="00DC6BEC" w:rsidP="00DC6BEC">
      <w:pPr>
        <w:rPr>
          <w:color w:val="auto"/>
        </w:rPr>
      </w:pPr>
      <w:r>
        <w:rPr>
          <w:color w:val="auto"/>
        </w:rPr>
        <w:t xml:space="preserve">Vedtakets punkt 3 innebærer at utlysning av alle tekniske- og administrative stillinger skal godkjennes av HR-avdelingen. </w:t>
      </w:r>
      <w:r w:rsidR="000155DA">
        <w:rPr>
          <w:color w:val="auto"/>
        </w:rPr>
        <w:t xml:space="preserve">Vi vil komme tilbake til de praktiske rutinene rundt dette. </w:t>
      </w:r>
      <w:r>
        <w:rPr>
          <w:color w:val="auto"/>
        </w:rPr>
        <w:t xml:space="preserve">Det </w:t>
      </w:r>
      <w:r>
        <w:rPr>
          <w:color w:val="auto"/>
        </w:rPr>
        <w:lastRenderedPageBreak/>
        <w:t xml:space="preserve">må også lages langtidsplaner for bemanning i tekniske- og administrative stillinger ved enhetene. Dette blir et sentralt tema i HR-gruppen i tiden fremover. </w:t>
      </w:r>
    </w:p>
    <w:p w:rsidR="00DC6BEC" w:rsidRDefault="00DC6BEC" w:rsidP="009801B2">
      <w:pPr>
        <w:rPr>
          <w:color w:val="auto"/>
        </w:rPr>
      </w:pPr>
    </w:p>
    <w:p w:rsidR="00581F87" w:rsidRDefault="007F4620" w:rsidP="009801B2">
      <w:pPr>
        <w:rPr>
          <w:color w:val="auto"/>
        </w:rPr>
      </w:pPr>
      <w:r>
        <w:rPr>
          <w:color w:val="auto"/>
        </w:rPr>
        <w:t>Når det gjelder rapportering om situasjonen med hensyn til midlertidige ansettelser, viser vi til brev av 17. august 2016 (sak 13/2724) med beskrivelse av de årlige rutinene. I tillegg til protokoll-møte i tilknytning til DBH-rapportering i oktober, vil det bli et tilsvarende møte i april hvert år</w:t>
      </w:r>
      <w:r w:rsidR="000155DA">
        <w:rPr>
          <w:color w:val="auto"/>
        </w:rPr>
        <w:t>.</w:t>
      </w:r>
      <w:r>
        <w:rPr>
          <w:color w:val="auto"/>
        </w:rPr>
        <w:t xml:space="preserve"> Vi oppfordrer fakultetsledelsen til å overvåke utviklingen ved ta ut </w:t>
      </w:r>
      <w:r w:rsidR="000155DA">
        <w:rPr>
          <w:color w:val="auto"/>
        </w:rPr>
        <w:t xml:space="preserve">månedlige </w:t>
      </w:r>
      <w:r w:rsidR="009965B0">
        <w:rPr>
          <w:color w:val="auto"/>
        </w:rPr>
        <w:t>drift</w:t>
      </w:r>
      <w:r w:rsidR="000155DA">
        <w:rPr>
          <w:color w:val="auto"/>
        </w:rPr>
        <w:t>rapporter</w:t>
      </w:r>
      <w:r w:rsidR="009965B0">
        <w:rPr>
          <w:color w:val="auto"/>
        </w:rPr>
        <w:t xml:space="preserve"> i Discoverer</w:t>
      </w:r>
      <w:r>
        <w:rPr>
          <w:color w:val="auto"/>
        </w:rPr>
        <w:t xml:space="preserve">. </w:t>
      </w:r>
      <w:r w:rsidR="00581F87">
        <w:rPr>
          <w:color w:val="auto"/>
        </w:rPr>
        <w:t xml:space="preserve">Det må da også kontrolleres at det er registrert korrekt hjemmelsgrunnlag for alle midlertidige stillinger. </w:t>
      </w:r>
      <w:r w:rsidR="00667058">
        <w:rPr>
          <w:color w:val="auto"/>
        </w:rPr>
        <w:t>Om kort tid</w:t>
      </w:r>
      <w:r w:rsidR="000155DA">
        <w:rPr>
          <w:color w:val="auto"/>
        </w:rPr>
        <w:t xml:space="preserve"> vil vi ha på plass </w:t>
      </w:r>
      <w:r w:rsidR="009965B0">
        <w:rPr>
          <w:color w:val="auto"/>
        </w:rPr>
        <w:t>det nye r</w:t>
      </w:r>
      <w:r>
        <w:rPr>
          <w:color w:val="auto"/>
        </w:rPr>
        <w:t>apporterings</w:t>
      </w:r>
      <w:r w:rsidR="009965B0">
        <w:rPr>
          <w:color w:val="auto"/>
        </w:rPr>
        <w:t>-</w:t>
      </w:r>
      <w:r>
        <w:rPr>
          <w:color w:val="auto"/>
        </w:rPr>
        <w:t>verktøyet (Tableau)</w:t>
      </w:r>
      <w:r w:rsidR="009965B0">
        <w:rPr>
          <w:color w:val="auto"/>
        </w:rPr>
        <w:t>, som vil gi nye muligheter bl.a. til grafiske fremstillinger.</w:t>
      </w:r>
    </w:p>
    <w:p w:rsidR="000155DA" w:rsidRDefault="00F44F78" w:rsidP="009801B2">
      <w:pPr>
        <w:rPr>
          <w:color w:val="auto"/>
        </w:rPr>
      </w:pPr>
      <w:r>
        <w:rPr>
          <w:color w:val="auto"/>
        </w:rPr>
        <w:t xml:space="preserve">Fra og med i høst vil spørsmål som gjelder midlertidige stillinger også inngå i den månedlige økonomirapporteringen. </w:t>
      </w:r>
    </w:p>
    <w:p w:rsidR="00F44F78" w:rsidRDefault="00F44F78" w:rsidP="009801B2">
      <w:pPr>
        <w:rPr>
          <w:color w:val="auto"/>
        </w:rPr>
      </w:pPr>
    </w:p>
    <w:p w:rsidR="00667058" w:rsidRDefault="00667058" w:rsidP="00667058">
      <w:pPr>
        <w:rPr>
          <w:color w:val="auto"/>
        </w:rPr>
      </w:pPr>
      <w:r>
        <w:rPr>
          <w:color w:val="auto"/>
        </w:rPr>
        <w:t xml:space="preserve">Vi vil arrangere en workshop i HR-forum </w:t>
      </w:r>
      <w:r w:rsidRPr="00667058">
        <w:rPr>
          <w:b/>
          <w:color w:val="auto"/>
        </w:rPr>
        <w:t>17.-18.august</w:t>
      </w:r>
      <w:r>
        <w:rPr>
          <w:color w:val="auto"/>
        </w:rPr>
        <w:t xml:space="preserve"> for sammen med fakultetene; UB og UM å gå gjennom ulike behov for justeringer i reglement og praksis i lys av dette vedtaket.</w:t>
      </w:r>
    </w:p>
    <w:p w:rsidR="009965B0" w:rsidRDefault="009965B0" w:rsidP="009801B2">
      <w:pPr>
        <w:rPr>
          <w:color w:val="auto"/>
        </w:rPr>
      </w:pPr>
      <w:r>
        <w:rPr>
          <w:color w:val="auto"/>
        </w:rPr>
        <w:t>Langsiktig planlegging av ressursbehov vil ellers være et gjennomgående tema i mange sammenhenger fremover og inngå i lederopplæring</w:t>
      </w:r>
      <w:r w:rsidR="0092474A">
        <w:rPr>
          <w:color w:val="auto"/>
        </w:rPr>
        <w:t>sprogram</w:t>
      </w:r>
      <w:r>
        <w:rPr>
          <w:color w:val="auto"/>
        </w:rPr>
        <w:t xml:space="preserve"> fra høsten. </w:t>
      </w:r>
      <w:r w:rsidR="0092474A">
        <w:rPr>
          <w:color w:val="auto"/>
        </w:rPr>
        <w:t xml:space="preserve">Det vil bli arrangert en halvdagssamling om temaet </w:t>
      </w:r>
      <w:r w:rsidR="003F4422">
        <w:rPr>
          <w:b/>
          <w:color w:val="auto"/>
        </w:rPr>
        <w:t>11</w:t>
      </w:r>
      <w:r w:rsidR="0092474A" w:rsidRPr="0092474A">
        <w:rPr>
          <w:b/>
          <w:color w:val="auto"/>
        </w:rPr>
        <w:t>. september</w:t>
      </w:r>
      <w:r w:rsidR="0092474A">
        <w:rPr>
          <w:color w:val="auto"/>
        </w:rPr>
        <w:t xml:space="preserve"> for fakultetsledelsen</w:t>
      </w:r>
      <w:r w:rsidR="00667058">
        <w:rPr>
          <w:color w:val="auto"/>
        </w:rPr>
        <w:t>e</w:t>
      </w:r>
      <w:r w:rsidR="0092474A">
        <w:rPr>
          <w:color w:val="auto"/>
        </w:rPr>
        <w:t>.</w:t>
      </w:r>
      <w:r>
        <w:rPr>
          <w:color w:val="auto"/>
        </w:rPr>
        <w:t xml:space="preserve"> Vi kommer tilbake med nærmere invitasjon og program.</w:t>
      </w:r>
      <w:r w:rsidR="00667058">
        <w:rPr>
          <w:color w:val="auto"/>
        </w:rPr>
        <w:t xml:space="preserve"> Videre vil dette også være en del av instituttlederprogrammet som starter til høsten. I tillegg</w:t>
      </w:r>
      <w:r w:rsidR="006B5E04">
        <w:rPr>
          <w:color w:val="auto"/>
        </w:rPr>
        <w:t xml:space="preserve"> vil det bli lagt opp til et halvdagsmøte for HR-medarbeidere og forskningsrådgivere </w:t>
      </w:r>
      <w:r w:rsidR="006B5E04" w:rsidRPr="006B5E04">
        <w:rPr>
          <w:b/>
          <w:color w:val="auto"/>
        </w:rPr>
        <w:t>13. september</w:t>
      </w:r>
      <w:r w:rsidR="006B5E04">
        <w:rPr>
          <w:color w:val="auto"/>
        </w:rPr>
        <w:t xml:space="preserve">. Vi kommer tilbake med nærmere invitasjon og program til disse samlingene. </w:t>
      </w:r>
    </w:p>
    <w:p w:rsidR="009965B0" w:rsidRDefault="009965B0" w:rsidP="009801B2">
      <w:pPr>
        <w:rPr>
          <w:color w:val="auto"/>
        </w:rPr>
      </w:pPr>
    </w:p>
    <w:p w:rsidR="000155DA" w:rsidRDefault="009965B0" w:rsidP="009801B2">
      <w:pPr>
        <w:rPr>
          <w:color w:val="auto"/>
        </w:rPr>
      </w:pPr>
      <w:r>
        <w:rPr>
          <w:color w:val="auto"/>
        </w:rPr>
        <w:t>Vi ber om at styrevedtaket gjøres kjent for alle ansatte</w:t>
      </w:r>
      <w:r w:rsidR="000155DA">
        <w:rPr>
          <w:color w:val="auto"/>
        </w:rPr>
        <w:t xml:space="preserve">. </w:t>
      </w:r>
      <w:r>
        <w:rPr>
          <w:color w:val="auto"/>
        </w:rPr>
        <w:t>Det er viktig at det gis grundig informasjon til alle forskningsgruppeledere og prosjektledere om de vedtatte innstrammingene i bruken av midlertidige ansettelser i eksternt finansiert virksomhet.</w:t>
      </w:r>
    </w:p>
    <w:p w:rsidR="000155DA" w:rsidRDefault="000155DA" w:rsidP="009801B2">
      <w:pPr>
        <w:rPr>
          <w:color w:val="auto"/>
        </w:rPr>
      </w:pPr>
    </w:p>
    <w:p w:rsidR="009965B0" w:rsidRDefault="000155DA" w:rsidP="009801B2">
      <w:pPr>
        <w:rPr>
          <w:color w:val="auto"/>
        </w:rPr>
      </w:pPr>
      <w:r>
        <w:rPr>
          <w:color w:val="auto"/>
        </w:rPr>
        <w:t>Universitetet i Bergen er avhengig av fortsatt vekst i den eksternt finansierte delen av virksomheten for å nå våre ambisiøse må</w:t>
      </w:r>
      <w:r w:rsidR="00D6255B">
        <w:rPr>
          <w:color w:val="auto"/>
        </w:rPr>
        <w:t xml:space="preserve">l. Skal vi lykkes i dette må vi rekruttere de beste forskerne og tilby dem stabile og forutsigbare arbeidsvilkår. </w:t>
      </w:r>
    </w:p>
    <w:p w:rsidR="009965B0" w:rsidRPr="0006453C" w:rsidRDefault="009965B0" w:rsidP="009801B2">
      <w:pPr>
        <w:rPr>
          <w:color w:val="auto"/>
        </w:rPr>
      </w:pPr>
    </w:p>
    <w:p w:rsidR="00BB197F" w:rsidRPr="0006453C" w:rsidRDefault="00BB197F" w:rsidP="009801B2">
      <w:pPr>
        <w:rPr>
          <w:color w:val="auto"/>
        </w:rPr>
      </w:pPr>
    </w:p>
    <w:p w:rsidR="001C64F5" w:rsidRPr="0006453C" w:rsidRDefault="001C64F5" w:rsidP="009801B2">
      <w:pPr>
        <w:rPr>
          <w:color w:val="auto"/>
        </w:rPr>
      </w:pPr>
    </w:p>
    <w:p w:rsidR="00361826" w:rsidRPr="0006453C" w:rsidRDefault="00361826" w:rsidP="009801B2">
      <w:pPr>
        <w:rPr>
          <w:color w:val="auto"/>
        </w:rPr>
      </w:pPr>
    </w:p>
    <w:p w:rsidR="00E40E65" w:rsidRPr="00FD25DE" w:rsidRDefault="006B6CBA" w:rsidP="007B061C">
      <w:r>
        <w:t>Vennlig hilsen</w:t>
      </w:r>
    </w:p>
    <w:p w:rsidR="0004292F" w:rsidRPr="00970A6D" w:rsidRDefault="0004292F" w:rsidP="007B061C"/>
    <w:p w:rsidR="00D67009" w:rsidRPr="00970A6D" w:rsidRDefault="00667058" w:rsidP="007B061C">
      <w:r>
        <w:t>Tore Tungodden</w:t>
      </w:r>
    </w:p>
    <w:p w:rsidR="00BB7EF7" w:rsidRPr="00970A6D" w:rsidRDefault="00667058" w:rsidP="005E3A14">
      <w:pPr>
        <w:tabs>
          <w:tab w:val="left" w:pos="5529"/>
        </w:tabs>
      </w:pPr>
      <w:r>
        <w:t xml:space="preserve">Fungerende </w:t>
      </w:r>
      <w:r w:rsidR="004D438C">
        <w:t>universitetsdirektør</w:t>
      </w:r>
      <w:r w:rsidR="00BB7EF7" w:rsidRPr="00970A6D">
        <w:tab/>
      </w:r>
      <w:bookmarkStart w:id="17" w:name="SAKSBEHANDLERNAVN"/>
      <w:r w:rsidR="004D438C">
        <w:t>Sonja Dyrkorn</w:t>
      </w:r>
      <w:bookmarkEnd w:id="17"/>
    </w:p>
    <w:p w:rsidR="0004292F" w:rsidRPr="00970A6D" w:rsidRDefault="0004292F" w:rsidP="005E3A14">
      <w:pPr>
        <w:pStyle w:val="Kursiv"/>
        <w:tabs>
          <w:tab w:val="left" w:pos="5529"/>
        </w:tabs>
        <w:rPr>
          <w:i w:val="0"/>
        </w:rPr>
      </w:pPr>
      <w:r w:rsidRPr="00970A6D">
        <w:rPr>
          <w:i w:val="0"/>
        </w:rPr>
        <w:tab/>
      </w:r>
      <w:bookmarkStart w:id="18" w:name="SAKSBEHANDLERSTILLING"/>
      <w:r w:rsidR="004D438C">
        <w:rPr>
          <w:i w:val="0"/>
        </w:rPr>
        <w:t>HR-direktør</w:t>
      </w:r>
      <w:bookmarkEnd w:id="18"/>
    </w:p>
    <w:p w:rsidR="0004292F" w:rsidRPr="00970A6D" w:rsidRDefault="0004292F" w:rsidP="007B061C"/>
    <w:p w:rsidR="0004292F" w:rsidRPr="00970A6D" w:rsidRDefault="0004292F" w:rsidP="00105A0B"/>
    <w:p w:rsidR="00225DAD" w:rsidRDefault="00225DAD" w:rsidP="00105A0B"/>
    <w:p w:rsidR="004D438C" w:rsidRDefault="004D438C" w:rsidP="00105A0B"/>
    <w:p w:rsidR="004D438C" w:rsidRDefault="004D438C" w:rsidP="00105A0B"/>
    <w:p w:rsidR="004D438C" w:rsidRPr="00970A6D" w:rsidRDefault="004D438C" w:rsidP="00105A0B">
      <w:r>
        <w:t>Kopi:</w:t>
      </w:r>
      <w:r>
        <w:br/>
        <w:t>Hovedtillitsvalgte ved UiB</w:t>
      </w:r>
      <w:r>
        <w:br/>
        <w:t>Universitetets hovedverneombud</w:t>
      </w:r>
    </w:p>
    <w:sectPr w:rsidR="004D438C" w:rsidRPr="00970A6D" w:rsidSect="00DA300A">
      <w:type w:val="continuous"/>
      <w:pgSz w:w="11906" w:h="16838" w:code="9"/>
      <w:pgMar w:top="680" w:right="1133" w:bottom="1134" w:left="1701"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19" w:rsidRDefault="00FC3719">
      <w:r>
        <w:separator/>
      </w:r>
    </w:p>
  </w:endnote>
  <w:endnote w:type="continuationSeparator" w:id="0">
    <w:p w:rsidR="00FC3719" w:rsidRDefault="00FC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2957"/>
      <w:gridCol w:w="1845"/>
      <w:gridCol w:w="2134"/>
      <w:gridCol w:w="2136"/>
    </w:tblGrid>
    <w:tr w:rsidR="00E25635" w:rsidTr="00E55DE1">
      <w:trPr>
        <w:trHeight w:val="340"/>
      </w:trPr>
      <w:tc>
        <w:tcPr>
          <w:tcW w:w="5000" w:type="pct"/>
          <w:gridSpan w:val="4"/>
          <w:shd w:val="clear" w:color="auto" w:fill="auto"/>
          <w:vAlign w:val="center"/>
        </w:tcPr>
        <w:p w:rsidR="00E25635" w:rsidRPr="00E55DE1" w:rsidRDefault="00E55DE1" w:rsidP="00E55DE1">
          <w:pPr>
            <w:spacing w:after="0" w:line="240" w:lineRule="auto"/>
            <w:rPr>
              <w:sz w:val="14"/>
              <w:szCs w:val="14"/>
            </w:rPr>
          </w:pPr>
          <w:r w:rsidRPr="00E55DE1">
            <w:rPr>
              <w:sz w:val="14"/>
              <w:szCs w:val="14"/>
            </w:rPr>
            <w:t>Dette er et UiB-internt notat som godkjennes elektronisk i ePhorte</w:t>
          </w:r>
        </w:p>
      </w:tc>
    </w:tr>
    <w:tr w:rsidR="00E25635" w:rsidTr="00E55DE1">
      <w:trPr>
        <w:trHeight w:val="720"/>
      </w:trPr>
      <w:tc>
        <w:tcPr>
          <w:tcW w:w="1630" w:type="pct"/>
          <w:shd w:val="clear" w:color="auto" w:fill="auto"/>
        </w:tcPr>
        <w:p w:rsidR="00E25635" w:rsidRPr="00DE08B0" w:rsidRDefault="00671DC9" w:rsidP="00E55DE1">
          <w:pPr>
            <w:spacing w:before="120" w:after="0" w:line="200" w:lineRule="atLeast"/>
            <w:rPr>
              <w:rFonts w:cs="Arial"/>
              <w:sz w:val="16"/>
              <w:szCs w:val="16"/>
            </w:rPr>
          </w:pPr>
          <w:bookmarkStart w:id="1" w:name="ADMBETEGNELSE2"/>
          <w:r>
            <w:rPr>
              <w:rFonts w:cs="Arial"/>
              <w:sz w:val="16"/>
              <w:szCs w:val="16"/>
            </w:rPr>
            <w:t>HR-avdelingen</w:t>
          </w:r>
          <w:bookmarkEnd w:id="1"/>
        </w:p>
        <w:p w:rsidR="00E25635" w:rsidRPr="00DE08B0" w:rsidRDefault="00E25635" w:rsidP="00E55DE1">
          <w:pPr>
            <w:spacing w:after="0" w:line="200" w:lineRule="atLeast"/>
            <w:rPr>
              <w:rFonts w:cs="Arial"/>
              <w:sz w:val="16"/>
              <w:szCs w:val="16"/>
            </w:rPr>
          </w:pPr>
          <w:r>
            <w:rPr>
              <w:rFonts w:cs="Arial"/>
              <w:sz w:val="16"/>
              <w:szCs w:val="16"/>
            </w:rPr>
            <w:t>Telefon</w:t>
          </w:r>
          <w:r w:rsidRPr="00DE08B0">
            <w:rPr>
              <w:rFonts w:cs="Arial"/>
              <w:sz w:val="16"/>
              <w:szCs w:val="16"/>
            </w:rPr>
            <w:t xml:space="preserve"> </w:t>
          </w:r>
          <w:bookmarkStart w:id="2" w:name="ADMTELEFON"/>
          <w:r w:rsidR="00671DC9">
            <w:rPr>
              <w:rFonts w:cs="Arial"/>
              <w:sz w:val="16"/>
              <w:szCs w:val="16"/>
            </w:rPr>
            <w:t>55582100</w:t>
          </w:r>
          <w:bookmarkEnd w:id="2"/>
        </w:p>
        <w:p w:rsidR="00E25635" w:rsidRPr="00DE08B0" w:rsidRDefault="00671DC9" w:rsidP="00E55DE1">
          <w:pPr>
            <w:spacing w:after="0" w:line="200" w:lineRule="atLeast"/>
            <w:rPr>
              <w:rFonts w:cs="Arial"/>
              <w:sz w:val="16"/>
              <w:szCs w:val="16"/>
            </w:rPr>
          </w:pPr>
          <w:bookmarkStart w:id="3" w:name="ADMEMAILADRESSE"/>
          <w:r>
            <w:rPr>
              <w:rFonts w:cs="Arial"/>
              <w:sz w:val="16"/>
              <w:szCs w:val="16"/>
            </w:rPr>
            <w:t>post@uib.no</w:t>
          </w:r>
          <w:bookmarkEnd w:id="3"/>
        </w:p>
      </w:tc>
      <w:tc>
        <w:tcPr>
          <w:tcW w:w="1017" w:type="pct"/>
          <w:shd w:val="clear" w:color="auto" w:fill="auto"/>
        </w:tcPr>
        <w:p w:rsidR="00E25635" w:rsidRPr="00DE08B0" w:rsidRDefault="00E25635" w:rsidP="00E55DE1">
          <w:pPr>
            <w:pStyle w:val="Avsenderadresse"/>
            <w:spacing w:before="120" w:line="200" w:lineRule="atLeast"/>
            <w:rPr>
              <w:rFonts w:ascii="Arial" w:hAnsi="Arial"/>
              <w:sz w:val="16"/>
              <w:szCs w:val="16"/>
            </w:rPr>
          </w:pPr>
          <w:r w:rsidRPr="00DE08B0">
            <w:rPr>
              <w:rFonts w:ascii="Arial" w:hAnsi="Arial"/>
              <w:sz w:val="16"/>
              <w:szCs w:val="16"/>
            </w:rPr>
            <w:t>Postadresse</w:t>
          </w:r>
          <w:r w:rsidR="00E55DE1">
            <w:rPr>
              <w:rFonts w:ascii="Arial" w:hAnsi="Arial"/>
              <w:sz w:val="16"/>
              <w:szCs w:val="16"/>
            </w:rPr>
            <w:t xml:space="preserve"> </w:t>
          </w:r>
        </w:p>
        <w:p w:rsidR="00E55DE1" w:rsidRDefault="00671DC9" w:rsidP="00E55DE1">
          <w:pPr>
            <w:pStyle w:val="Avsenderadresse"/>
            <w:spacing w:line="200" w:lineRule="atLeast"/>
            <w:rPr>
              <w:rFonts w:ascii="Arial" w:hAnsi="Arial"/>
              <w:sz w:val="16"/>
              <w:szCs w:val="16"/>
            </w:rPr>
          </w:pPr>
          <w:bookmarkStart w:id="4" w:name="ADMPOSTADRESSE"/>
          <w:r>
            <w:rPr>
              <w:rFonts w:ascii="Arial" w:hAnsi="Arial"/>
              <w:sz w:val="16"/>
              <w:szCs w:val="16"/>
            </w:rPr>
            <w:t>Postboks 7800</w:t>
          </w:r>
          <w:bookmarkEnd w:id="4"/>
        </w:p>
        <w:p w:rsidR="00E55DE1" w:rsidRPr="00DE08B0" w:rsidRDefault="00671DC9" w:rsidP="00E55DE1">
          <w:pPr>
            <w:pStyle w:val="Avsenderadresse"/>
            <w:spacing w:line="200" w:lineRule="atLeast"/>
            <w:rPr>
              <w:rFonts w:ascii="Arial" w:hAnsi="Arial"/>
              <w:sz w:val="16"/>
              <w:szCs w:val="16"/>
            </w:rPr>
          </w:pPr>
          <w:bookmarkStart w:id="5" w:name="ADMPOSTNR"/>
          <w:r>
            <w:rPr>
              <w:rFonts w:ascii="Arial" w:hAnsi="Arial"/>
              <w:sz w:val="16"/>
              <w:szCs w:val="16"/>
            </w:rPr>
            <w:t>5020</w:t>
          </w:r>
          <w:bookmarkEnd w:id="5"/>
          <w:r w:rsidR="00E55DE1">
            <w:rPr>
              <w:rFonts w:ascii="Arial" w:hAnsi="Arial"/>
              <w:sz w:val="16"/>
              <w:szCs w:val="16"/>
            </w:rPr>
            <w:t xml:space="preserve"> </w:t>
          </w:r>
          <w:bookmarkStart w:id="6" w:name="ADMPOSTSTED"/>
          <w:r>
            <w:rPr>
              <w:rFonts w:ascii="Arial" w:hAnsi="Arial"/>
              <w:sz w:val="16"/>
              <w:szCs w:val="16"/>
            </w:rPr>
            <w:t>Bergen</w:t>
          </w:r>
          <w:bookmarkEnd w:id="6"/>
        </w:p>
      </w:tc>
      <w:tc>
        <w:tcPr>
          <w:tcW w:w="1176" w:type="pct"/>
          <w:shd w:val="clear" w:color="auto" w:fill="auto"/>
        </w:tcPr>
        <w:p w:rsidR="00E25635" w:rsidRPr="00DE08B0" w:rsidRDefault="00E25635" w:rsidP="00E55DE1">
          <w:pPr>
            <w:spacing w:before="120" w:after="0" w:line="200" w:lineRule="atLeast"/>
            <w:rPr>
              <w:sz w:val="16"/>
              <w:szCs w:val="16"/>
            </w:rPr>
          </w:pPr>
          <w:r w:rsidRPr="00DE08B0">
            <w:rPr>
              <w:sz w:val="16"/>
              <w:szCs w:val="16"/>
            </w:rPr>
            <w:t>Besøksadresse</w:t>
          </w:r>
        </w:p>
        <w:p w:rsidR="00E25635" w:rsidRDefault="00671DC9" w:rsidP="00E55DE1">
          <w:pPr>
            <w:spacing w:after="0" w:line="200" w:lineRule="atLeast"/>
            <w:rPr>
              <w:sz w:val="16"/>
              <w:szCs w:val="16"/>
            </w:rPr>
          </w:pPr>
          <w:bookmarkStart w:id="7" w:name="SAKSBEHBESØKSADRESSE"/>
          <w:r>
            <w:rPr>
              <w:sz w:val="16"/>
              <w:szCs w:val="16"/>
            </w:rPr>
            <w:t>Nygårdsgt. 5</w:t>
          </w:r>
          <w:bookmarkEnd w:id="7"/>
        </w:p>
        <w:p w:rsidR="00E55DE1" w:rsidRPr="00DE08B0" w:rsidRDefault="00E55DE1" w:rsidP="00E55DE1">
          <w:pPr>
            <w:spacing w:after="0" w:line="200" w:lineRule="atLeast"/>
            <w:rPr>
              <w:sz w:val="16"/>
              <w:szCs w:val="16"/>
            </w:rPr>
          </w:pPr>
          <w:r>
            <w:rPr>
              <w:sz w:val="16"/>
              <w:szCs w:val="16"/>
            </w:rPr>
            <w:t>Bergen</w:t>
          </w:r>
        </w:p>
      </w:tc>
      <w:tc>
        <w:tcPr>
          <w:tcW w:w="1176" w:type="pct"/>
          <w:shd w:val="clear" w:color="auto" w:fill="auto"/>
        </w:tcPr>
        <w:p w:rsidR="00E25635" w:rsidRPr="00DE08B0" w:rsidRDefault="00E25635" w:rsidP="00E55DE1">
          <w:pPr>
            <w:spacing w:before="120" w:after="0" w:line="200" w:lineRule="atLeast"/>
            <w:rPr>
              <w:sz w:val="16"/>
              <w:szCs w:val="16"/>
            </w:rPr>
          </w:pPr>
          <w:r w:rsidRPr="00DE08B0">
            <w:rPr>
              <w:sz w:val="16"/>
              <w:szCs w:val="16"/>
            </w:rPr>
            <w:t>Saksbehandler</w:t>
          </w:r>
        </w:p>
        <w:p w:rsidR="00E25635" w:rsidRDefault="00671DC9" w:rsidP="00E55DE1">
          <w:pPr>
            <w:spacing w:after="0" w:line="200" w:lineRule="exact"/>
            <w:rPr>
              <w:sz w:val="16"/>
              <w:szCs w:val="16"/>
            </w:rPr>
          </w:pPr>
          <w:bookmarkStart w:id="8" w:name="SAKSBEHANDLERNAVN2"/>
          <w:r>
            <w:rPr>
              <w:sz w:val="16"/>
              <w:szCs w:val="16"/>
            </w:rPr>
            <w:t>Lise Gundersen</w:t>
          </w:r>
          <w:bookmarkEnd w:id="8"/>
        </w:p>
        <w:p w:rsidR="00E55DE1" w:rsidRPr="00DE08B0" w:rsidRDefault="00671DC9" w:rsidP="00E55DE1">
          <w:pPr>
            <w:spacing w:after="0" w:line="200" w:lineRule="exact"/>
            <w:rPr>
              <w:sz w:val="16"/>
              <w:szCs w:val="16"/>
            </w:rPr>
          </w:pPr>
          <w:bookmarkStart w:id="9" w:name="SAKSBEHTLF"/>
          <w:r>
            <w:rPr>
              <w:sz w:val="16"/>
              <w:szCs w:val="16"/>
            </w:rPr>
            <w:t>55582214</w:t>
          </w:r>
          <w:bookmarkEnd w:id="9"/>
        </w:p>
      </w:tc>
    </w:tr>
  </w:tbl>
  <w:p w:rsidR="00044E28" w:rsidRPr="00DE08B0" w:rsidRDefault="00044E28" w:rsidP="00CA11D3">
    <w:pPr>
      <w:pStyle w:val="Fortekstliten"/>
      <w:jc w:val="right"/>
      <w:rPr>
        <w:szCs w:val="16"/>
      </w:rPr>
    </w:pPr>
    <w:r w:rsidRPr="00DE08B0">
      <w:rPr>
        <w:snapToGrid w:val="0"/>
        <w:szCs w:val="16"/>
      </w:rPr>
      <w:t xml:space="preserve">side </w:t>
    </w:r>
    <w:r w:rsidRPr="00DE08B0">
      <w:rPr>
        <w:szCs w:val="16"/>
      </w:rPr>
      <w:fldChar w:fldCharType="begin"/>
    </w:r>
    <w:r w:rsidRPr="00DE08B0">
      <w:rPr>
        <w:szCs w:val="16"/>
      </w:rPr>
      <w:instrText xml:space="preserve"> PAGE   \* MERGEFORMAT </w:instrText>
    </w:r>
    <w:r w:rsidRPr="00DE08B0">
      <w:rPr>
        <w:szCs w:val="16"/>
      </w:rPr>
      <w:fldChar w:fldCharType="separate"/>
    </w:r>
    <w:r w:rsidR="00D3446D">
      <w:rPr>
        <w:noProof/>
        <w:szCs w:val="16"/>
      </w:rPr>
      <w:t>1</w:t>
    </w:r>
    <w:r w:rsidRPr="00DE08B0">
      <w:rPr>
        <w:szCs w:val="16"/>
      </w:rPr>
      <w:fldChar w:fldCharType="end"/>
    </w:r>
    <w:r w:rsidRPr="00DE08B0">
      <w:rPr>
        <w:szCs w:val="16"/>
      </w:rPr>
      <w:t xml:space="preserve"> av </w:t>
    </w:r>
    <w:r w:rsidRPr="00DE08B0">
      <w:rPr>
        <w:szCs w:val="16"/>
      </w:rPr>
      <w:fldChar w:fldCharType="begin"/>
    </w:r>
    <w:r w:rsidRPr="00DE08B0">
      <w:rPr>
        <w:szCs w:val="16"/>
      </w:rPr>
      <w:instrText xml:space="preserve"> NUMPAGES   \* MERGEFORMAT </w:instrText>
    </w:r>
    <w:r w:rsidRPr="00DE08B0">
      <w:rPr>
        <w:szCs w:val="16"/>
      </w:rPr>
      <w:fldChar w:fldCharType="separate"/>
    </w:r>
    <w:r w:rsidR="00D3446D">
      <w:rPr>
        <w:noProof/>
        <w:szCs w:val="16"/>
      </w:rPr>
      <w:t>2</w:t>
    </w:r>
    <w:r w:rsidRPr="00DE08B0">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19" w:rsidRDefault="00FC3719">
      <w:r>
        <w:separator/>
      </w:r>
    </w:p>
  </w:footnote>
  <w:footnote w:type="continuationSeparator" w:id="0">
    <w:p w:rsidR="00FC3719" w:rsidRDefault="00FC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D3446D">
      <w:rPr>
        <w:noProof/>
        <w:szCs w:val="16"/>
      </w:rPr>
      <w:t>2</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D3446D">
      <w:rPr>
        <w:noProof/>
        <w:szCs w:val="16"/>
      </w:rPr>
      <w:t>2</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7A3D95" w:rsidRDefault="00E16C51" w:rsidP="00A7188D">
    <w:pPr>
      <w:pStyle w:val="Overskrift3"/>
      <w:rPr>
        <w:sz w:val="18"/>
        <w:szCs w:val="18"/>
      </w:rPr>
    </w:pPr>
    <w:r w:rsidRPr="007A3D95">
      <w:rPr>
        <w:noProof/>
        <w:sz w:val="18"/>
        <w:szCs w:val="18"/>
      </w:rPr>
      <w:drawing>
        <wp:anchor distT="0" distB="0" distL="114300" distR="114300" simplePos="0" relativeHeight="251657728" behindDoc="1" locked="0" layoutInCell="1" allowOverlap="1" wp14:anchorId="5CAB3EF6" wp14:editId="309B3BA2">
          <wp:simplePos x="0" y="0"/>
          <wp:positionH relativeFrom="column">
            <wp:posOffset>-685800</wp:posOffset>
          </wp:positionH>
          <wp:positionV relativeFrom="paragraph">
            <wp:posOffset>27940</wp:posOffset>
          </wp:positionV>
          <wp:extent cx="615950" cy="615950"/>
          <wp:effectExtent l="0" t="0" r="0" b="0"/>
          <wp:wrapNone/>
          <wp:docPr id="1" name="Bild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E28" w:rsidRDefault="00044E28" w:rsidP="00713936">
    <w:pPr>
      <w:pStyle w:val="UiB"/>
    </w:pPr>
    <w:r>
      <w:t>UNIVERSITETET I BERGEN</w:t>
    </w:r>
  </w:p>
  <w:p w:rsidR="00044E28" w:rsidRDefault="004D438C" w:rsidP="006627C6">
    <w:pPr>
      <w:pStyle w:val="Avdeling"/>
      <w:spacing w:line="240" w:lineRule="auto"/>
    </w:pPr>
    <w:bookmarkStart w:id="0" w:name="ADMBETEGNELSE"/>
    <w:r>
      <w:t>Universitetsdirektøren</w:t>
    </w:r>
    <w:bookmarkEnd w:id="0"/>
  </w:p>
  <w:p w:rsidR="00EA02DA" w:rsidRPr="00EA02DA" w:rsidRDefault="00EA02DA" w:rsidP="006A243C">
    <w:pPr>
      <w:pStyle w:val="Avdeling"/>
      <w:rPr>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96E"/>
    <w:multiLevelType w:val="hybridMultilevel"/>
    <w:tmpl w:val="A896FE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1072A3"/>
    <w:multiLevelType w:val="hybridMultilevel"/>
    <w:tmpl w:val="24542EF4"/>
    <w:lvl w:ilvl="0" w:tplc="FAA413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66"/>
    <w:rsid w:val="00014D81"/>
    <w:rsid w:val="000155DA"/>
    <w:rsid w:val="0002406B"/>
    <w:rsid w:val="00024779"/>
    <w:rsid w:val="00033FEF"/>
    <w:rsid w:val="00041DBB"/>
    <w:rsid w:val="0004292F"/>
    <w:rsid w:val="00044E28"/>
    <w:rsid w:val="00057A3B"/>
    <w:rsid w:val="00061B47"/>
    <w:rsid w:val="0006453C"/>
    <w:rsid w:val="000714E7"/>
    <w:rsid w:val="000715B7"/>
    <w:rsid w:val="00075059"/>
    <w:rsid w:val="00084450"/>
    <w:rsid w:val="000A2CFB"/>
    <w:rsid w:val="000A671C"/>
    <w:rsid w:val="000B4CD4"/>
    <w:rsid w:val="000C1638"/>
    <w:rsid w:val="000D30DE"/>
    <w:rsid w:val="000D7CDF"/>
    <w:rsid w:val="000F2781"/>
    <w:rsid w:val="00105A0B"/>
    <w:rsid w:val="00111241"/>
    <w:rsid w:val="00111CB1"/>
    <w:rsid w:val="00114011"/>
    <w:rsid w:val="00116B15"/>
    <w:rsid w:val="00132EA6"/>
    <w:rsid w:val="00136205"/>
    <w:rsid w:val="001442A8"/>
    <w:rsid w:val="00151AB7"/>
    <w:rsid w:val="00156F05"/>
    <w:rsid w:val="00161069"/>
    <w:rsid w:val="001843E7"/>
    <w:rsid w:val="00185628"/>
    <w:rsid w:val="00193FB8"/>
    <w:rsid w:val="001A6C9B"/>
    <w:rsid w:val="001B3E5E"/>
    <w:rsid w:val="001C1C5C"/>
    <w:rsid w:val="001C1F2B"/>
    <w:rsid w:val="001C64F5"/>
    <w:rsid w:val="001D026F"/>
    <w:rsid w:val="001D050B"/>
    <w:rsid w:val="001E297E"/>
    <w:rsid w:val="001F264B"/>
    <w:rsid w:val="00201175"/>
    <w:rsid w:val="00211A04"/>
    <w:rsid w:val="00212602"/>
    <w:rsid w:val="002169CC"/>
    <w:rsid w:val="00225DAD"/>
    <w:rsid w:val="00230387"/>
    <w:rsid w:val="00233AA3"/>
    <w:rsid w:val="00236477"/>
    <w:rsid w:val="00240D57"/>
    <w:rsid w:val="0026471C"/>
    <w:rsid w:val="00274323"/>
    <w:rsid w:val="00275A2A"/>
    <w:rsid w:val="002809BF"/>
    <w:rsid w:val="002816E9"/>
    <w:rsid w:val="002A0E97"/>
    <w:rsid w:val="002C3953"/>
    <w:rsid w:val="002E2C4D"/>
    <w:rsid w:val="002E6AB2"/>
    <w:rsid w:val="00300552"/>
    <w:rsid w:val="00300F02"/>
    <w:rsid w:val="003109C5"/>
    <w:rsid w:val="00322979"/>
    <w:rsid w:val="00323C65"/>
    <w:rsid w:val="00344BF0"/>
    <w:rsid w:val="00346FF1"/>
    <w:rsid w:val="00353960"/>
    <w:rsid w:val="00361826"/>
    <w:rsid w:val="00365C53"/>
    <w:rsid w:val="00373915"/>
    <w:rsid w:val="00380A3F"/>
    <w:rsid w:val="00391DEA"/>
    <w:rsid w:val="00394EDA"/>
    <w:rsid w:val="003B185D"/>
    <w:rsid w:val="003B590E"/>
    <w:rsid w:val="003B75E1"/>
    <w:rsid w:val="003C29FE"/>
    <w:rsid w:val="003D32A2"/>
    <w:rsid w:val="003E33B6"/>
    <w:rsid w:val="003E4501"/>
    <w:rsid w:val="003F2C9A"/>
    <w:rsid w:val="003F4226"/>
    <w:rsid w:val="003F4422"/>
    <w:rsid w:val="004023AD"/>
    <w:rsid w:val="004027B3"/>
    <w:rsid w:val="00404C87"/>
    <w:rsid w:val="0040796F"/>
    <w:rsid w:val="00412591"/>
    <w:rsid w:val="004135C6"/>
    <w:rsid w:val="0042504D"/>
    <w:rsid w:val="00427E3B"/>
    <w:rsid w:val="00440EF4"/>
    <w:rsid w:val="0044615F"/>
    <w:rsid w:val="004579B3"/>
    <w:rsid w:val="00461C1F"/>
    <w:rsid w:val="004702BF"/>
    <w:rsid w:val="004866AB"/>
    <w:rsid w:val="00487DB4"/>
    <w:rsid w:val="00493F18"/>
    <w:rsid w:val="004B0228"/>
    <w:rsid w:val="004C6421"/>
    <w:rsid w:val="004D438C"/>
    <w:rsid w:val="004F0D6D"/>
    <w:rsid w:val="005100BB"/>
    <w:rsid w:val="00520B8B"/>
    <w:rsid w:val="0056209F"/>
    <w:rsid w:val="00566240"/>
    <w:rsid w:val="005667C8"/>
    <w:rsid w:val="0057011F"/>
    <w:rsid w:val="00581F87"/>
    <w:rsid w:val="00583787"/>
    <w:rsid w:val="005932A4"/>
    <w:rsid w:val="005958EC"/>
    <w:rsid w:val="005A364B"/>
    <w:rsid w:val="005B6792"/>
    <w:rsid w:val="005D3F5F"/>
    <w:rsid w:val="005D4E0F"/>
    <w:rsid w:val="005E3A14"/>
    <w:rsid w:val="005F33B3"/>
    <w:rsid w:val="00606E1C"/>
    <w:rsid w:val="00613F85"/>
    <w:rsid w:val="00614CD6"/>
    <w:rsid w:val="00624CF0"/>
    <w:rsid w:val="00633607"/>
    <w:rsid w:val="00642FC1"/>
    <w:rsid w:val="006627C6"/>
    <w:rsid w:val="00665F31"/>
    <w:rsid w:val="00667058"/>
    <w:rsid w:val="00671DC9"/>
    <w:rsid w:val="006720D0"/>
    <w:rsid w:val="006A243C"/>
    <w:rsid w:val="006B5E04"/>
    <w:rsid w:val="006B6CBA"/>
    <w:rsid w:val="006C4565"/>
    <w:rsid w:val="006C6666"/>
    <w:rsid w:val="006D0FCD"/>
    <w:rsid w:val="006D1721"/>
    <w:rsid w:val="006E3CA8"/>
    <w:rsid w:val="006E4A5D"/>
    <w:rsid w:val="006E60FA"/>
    <w:rsid w:val="007048CB"/>
    <w:rsid w:val="00705992"/>
    <w:rsid w:val="00713936"/>
    <w:rsid w:val="00715F0D"/>
    <w:rsid w:val="007202F9"/>
    <w:rsid w:val="00721FE4"/>
    <w:rsid w:val="00730610"/>
    <w:rsid w:val="00735B1D"/>
    <w:rsid w:val="007422D3"/>
    <w:rsid w:val="007424AB"/>
    <w:rsid w:val="007474F0"/>
    <w:rsid w:val="00755C75"/>
    <w:rsid w:val="0079011F"/>
    <w:rsid w:val="007A3D95"/>
    <w:rsid w:val="007B0309"/>
    <w:rsid w:val="007B061C"/>
    <w:rsid w:val="007B410F"/>
    <w:rsid w:val="007B7F91"/>
    <w:rsid w:val="007C2A1E"/>
    <w:rsid w:val="007D0B2B"/>
    <w:rsid w:val="007E0716"/>
    <w:rsid w:val="007E08A5"/>
    <w:rsid w:val="007F2DC4"/>
    <w:rsid w:val="007F4620"/>
    <w:rsid w:val="00811088"/>
    <w:rsid w:val="008237D6"/>
    <w:rsid w:val="00835CEE"/>
    <w:rsid w:val="00842035"/>
    <w:rsid w:val="00845721"/>
    <w:rsid w:val="008516A0"/>
    <w:rsid w:val="00856979"/>
    <w:rsid w:val="0085733A"/>
    <w:rsid w:val="008661F6"/>
    <w:rsid w:val="0086625B"/>
    <w:rsid w:val="00871C3B"/>
    <w:rsid w:val="00880069"/>
    <w:rsid w:val="0089531D"/>
    <w:rsid w:val="008A0700"/>
    <w:rsid w:val="008A1479"/>
    <w:rsid w:val="008A7805"/>
    <w:rsid w:val="008C4808"/>
    <w:rsid w:val="008C6A9C"/>
    <w:rsid w:val="008D4A75"/>
    <w:rsid w:val="008D5339"/>
    <w:rsid w:val="00900CEA"/>
    <w:rsid w:val="009027B1"/>
    <w:rsid w:val="00903E3A"/>
    <w:rsid w:val="00904047"/>
    <w:rsid w:val="009047EE"/>
    <w:rsid w:val="0092474A"/>
    <w:rsid w:val="00924FB9"/>
    <w:rsid w:val="00925C9B"/>
    <w:rsid w:val="009322C2"/>
    <w:rsid w:val="009376EF"/>
    <w:rsid w:val="0095080E"/>
    <w:rsid w:val="009619F3"/>
    <w:rsid w:val="0096496D"/>
    <w:rsid w:val="00970A6D"/>
    <w:rsid w:val="009766D6"/>
    <w:rsid w:val="009801B2"/>
    <w:rsid w:val="00982B61"/>
    <w:rsid w:val="009922F0"/>
    <w:rsid w:val="009965B0"/>
    <w:rsid w:val="0099736C"/>
    <w:rsid w:val="009A572C"/>
    <w:rsid w:val="009C1687"/>
    <w:rsid w:val="009C1A35"/>
    <w:rsid w:val="009C265D"/>
    <w:rsid w:val="009C7C49"/>
    <w:rsid w:val="009D0CE7"/>
    <w:rsid w:val="009E0D37"/>
    <w:rsid w:val="009E40CD"/>
    <w:rsid w:val="009F42A0"/>
    <w:rsid w:val="009F4D9D"/>
    <w:rsid w:val="009F5D76"/>
    <w:rsid w:val="00A02BAB"/>
    <w:rsid w:val="00A0718F"/>
    <w:rsid w:val="00A233CE"/>
    <w:rsid w:val="00A26EFF"/>
    <w:rsid w:val="00A50A45"/>
    <w:rsid w:val="00A5651D"/>
    <w:rsid w:val="00A6173C"/>
    <w:rsid w:val="00A70122"/>
    <w:rsid w:val="00A7188D"/>
    <w:rsid w:val="00A73A98"/>
    <w:rsid w:val="00A7719F"/>
    <w:rsid w:val="00A94FD6"/>
    <w:rsid w:val="00A964AE"/>
    <w:rsid w:val="00AB1967"/>
    <w:rsid w:val="00AB60C7"/>
    <w:rsid w:val="00AC1B38"/>
    <w:rsid w:val="00AE6615"/>
    <w:rsid w:val="00B07B3E"/>
    <w:rsid w:val="00B10CB0"/>
    <w:rsid w:val="00B17B67"/>
    <w:rsid w:val="00B237BF"/>
    <w:rsid w:val="00B24105"/>
    <w:rsid w:val="00B349C1"/>
    <w:rsid w:val="00B45DEC"/>
    <w:rsid w:val="00B637B5"/>
    <w:rsid w:val="00BB197F"/>
    <w:rsid w:val="00BB4C5C"/>
    <w:rsid w:val="00BB7EF7"/>
    <w:rsid w:val="00BC1B65"/>
    <w:rsid w:val="00BC4A75"/>
    <w:rsid w:val="00BD0399"/>
    <w:rsid w:val="00BE151E"/>
    <w:rsid w:val="00BE6B7A"/>
    <w:rsid w:val="00BF1689"/>
    <w:rsid w:val="00BF725E"/>
    <w:rsid w:val="00C030F2"/>
    <w:rsid w:val="00C059B6"/>
    <w:rsid w:val="00C1085C"/>
    <w:rsid w:val="00C13C2F"/>
    <w:rsid w:val="00C151FC"/>
    <w:rsid w:val="00C27DE5"/>
    <w:rsid w:val="00C27F14"/>
    <w:rsid w:val="00C3103F"/>
    <w:rsid w:val="00C70456"/>
    <w:rsid w:val="00C74646"/>
    <w:rsid w:val="00C814E8"/>
    <w:rsid w:val="00C93516"/>
    <w:rsid w:val="00CA11D3"/>
    <w:rsid w:val="00CA40C4"/>
    <w:rsid w:val="00CD1C95"/>
    <w:rsid w:val="00CD1E51"/>
    <w:rsid w:val="00CE2BE7"/>
    <w:rsid w:val="00CE2D04"/>
    <w:rsid w:val="00CF068A"/>
    <w:rsid w:val="00CF6B49"/>
    <w:rsid w:val="00D00A8E"/>
    <w:rsid w:val="00D31791"/>
    <w:rsid w:val="00D3446D"/>
    <w:rsid w:val="00D41602"/>
    <w:rsid w:val="00D519F9"/>
    <w:rsid w:val="00D54090"/>
    <w:rsid w:val="00D6255B"/>
    <w:rsid w:val="00D67009"/>
    <w:rsid w:val="00DA300A"/>
    <w:rsid w:val="00DA76BF"/>
    <w:rsid w:val="00DC6BEC"/>
    <w:rsid w:val="00DC7B20"/>
    <w:rsid w:val="00DD1CDA"/>
    <w:rsid w:val="00DE08B0"/>
    <w:rsid w:val="00DE40C4"/>
    <w:rsid w:val="00DE67B8"/>
    <w:rsid w:val="00DE7012"/>
    <w:rsid w:val="00DF7850"/>
    <w:rsid w:val="00E00245"/>
    <w:rsid w:val="00E13A0A"/>
    <w:rsid w:val="00E16C51"/>
    <w:rsid w:val="00E20F8B"/>
    <w:rsid w:val="00E25635"/>
    <w:rsid w:val="00E33FBB"/>
    <w:rsid w:val="00E37CED"/>
    <w:rsid w:val="00E40E65"/>
    <w:rsid w:val="00E45B44"/>
    <w:rsid w:val="00E55DE1"/>
    <w:rsid w:val="00E61EBC"/>
    <w:rsid w:val="00E85EF6"/>
    <w:rsid w:val="00E87D6D"/>
    <w:rsid w:val="00E90232"/>
    <w:rsid w:val="00E93BFF"/>
    <w:rsid w:val="00EA02DA"/>
    <w:rsid w:val="00EA29CD"/>
    <w:rsid w:val="00EA5533"/>
    <w:rsid w:val="00EA7915"/>
    <w:rsid w:val="00EB1851"/>
    <w:rsid w:val="00EB5437"/>
    <w:rsid w:val="00ED005A"/>
    <w:rsid w:val="00EE1097"/>
    <w:rsid w:val="00EE73FF"/>
    <w:rsid w:val="00EE7938"/>
    <w:rsid w:val="00EF01AF"/>
    <w:rsid w:val="00EF7576"/>
    <w:rsid w:val="00F12277"/>
    <w:rsid w:val="00F13CB8"/>
    <w:rsid w:val="00F36AD5"/>
    <w:rsid w:val="00F44F78"/>
    <w:rsid w:val="00F50B92"/>
    <w:rsid w:val="00F51E95"/>
    <w:rsid w:val="00F57BC2"/>
    <w:rsid w:val="00F62057"/>
    <w:rsid w:val="00F6371E"/>
    <w:rsid w:val="00F818BA"/>
    <w:rsid w:val="00F92294"/>
    <w:rsid w:val="00F927E3"/>
    <w:rsid w:val="00F94DD4"/>
    <w:rsid w:val="00F961EB"/>
    <w:rsid w:val="00FA067D"/>
    <w:rsid w:val="00FA7ADB"/>
    <w:rsid w:val="00FB6DFB"/>
    <w:rsid w:val="00FC00B5"/>
    <w:rsid w:val="00FC3719"/>
    <w:rsid w:val="00FC451C"/>
    <w:rsid w:val="00FD25DE"/>
    <w:rsid w:val="00FE4556"/>
    <w:rsid w:val="00FE4D97"/>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BF926BE-1213-4E9F-AAAE-28C5918A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paragraph" w:styleId="Listeavsnitt">
    <w:name w:val="List Paragraph"/>
    <w:basedOn w:val="Normal"/>
    <w:uiPriority w:val="34"/>
    <w:qFormat/>
    <w:rsid w:val="00E00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DD3AE179.dotm</Template>
  <TotalTime>1</TotalTime>
  <Pages>2</Pages>
  <Words>718</Words>
  <Characters>3808</Characters>
  <Application>Microsoft Office Word</Application>
  <DocSecurity>4</DocSecurity>
  <Lines>31</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Lise Gundersen</dc:creator>
  <cp:lastModifiedBy>Linda Vagtskjold</cp:lastModifiedBy>
  <cp:revision>2</cp:revision>
  <cp:lastPrinted>2017-06-07T09:07:00Z</cp:lastPrinted>
  <dcterms:created xsi:type="dcterms:W3CDTF">2017-06-29T09:53:00Z</dcterms:created>
  <dcterms:modified xsi:type="dcterms:W3CDTF">2017-06-29T09:53:00Z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\\hjemme.uib.no\hnoso\ephorte\1089415_DOCX.XML</vt:lpwstr>
  </property>
  <property fmtid="{D5CDD505-2E9C-101B-9397-08002B2CF9AE}" pid="3" name="CheckInType">
    <vt:lpwstr>FromApplication</vt:lpwstr>
  </property>
  <property fmtid="{D5CDD505-2E9C-101B-9397-08002B2CF9AE}" pid="4" name="CheckInDocForm">
    <vt:lpwstr>https://eph-uib.uhad.no/ephorte/shared/aspx/Default/CheckInDocForm.aspx</vt:lpwstr>
  </property>
  <property fmtid="{D5CDD505-2E9C-101B-9397-08002B2CF9AE}" pid="5" name="DokType">
    <vt:lpwstr/>
  </property>
  <property fmtid="{D5CDD505-2E9C-101B-9397-08002B2CF9AE}" pid="6" name="DokID">
    <vt:i4>1091794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https%3a%2f%2feph-uib.uhad.no%2fephorte%2fshared%2faspx%2fdefault%2fdetails.aspx%3ff%3dViewSA%2520(JP)%26SA_ID%3d156466%26SubElGroup%3d32</vt:lpwstr>
  </property>
  <property fmtid="{D5CDD505-2E9C-101B-9397-08002B2CF9AE}" pid="11" name="WindowName">
    <vt:lpwstr>TabWindow1</vt:lpwstr>
  </property>
  <property fmtid="{D5CDD505-2E9C-101B-9397-08002B2CF9AE}" pid="12" name="FileName">
    <vt:lpwstr>%5c%5chjemme.uib.no%5chnoso%5cephorte%5c1089415.DOCX</vt:lpwstr>
  </property>
  <property fmtid="{D5CDD505-2E9C-101B-9397-08002B2CF9AE}" pid="13" name="LinkId">
    <vt:i4>767364</vt:i4>
  </property>
</Properties>
</file>