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335E0D" w:rsidRPr="00A76CAD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E05353" w:rsidRDefault="00335E0D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335E0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Tekst - Standardtekster ved MN-</w:t>
            </w:r>
            <w:proofErr w:type="spellStart"/>
            <w:r w:rsidRPr="00335E0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335E0D" w:rsidRPr="00E33BA5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2D437C">
            <w:pPr>
              <w:tabs>
                <w:tab w:val="left" w:pos="1067"/>
              </w:tabs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MOL201</w:t>
            </w:r>
          </w:p>
        </w:tc>
      </w:tr>
      <w:tr w:rsidR="00335E0D" w:rsidRPr="00E33BA5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2D437C">
            <w:pPr>
              <w:tabs>
                <w:tab w:val="left" w:pos="1221"/>
              </w:tabs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Molekylær cellebiologi</w:t>
            </w:r>
          </w:p>
        </w:tc>
      </w:tr>
      <w:tr w:rsidR="00335E0D" w:rsidRPr="00E33BA5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2D437C">
            <w:pPr>
              <w:tabs>
                <w:tab w:val="left" w:pos="1697"/>
              </w:tabs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Molekylær cellebiologi</w:t>
            </w:r>
          </w:p>
        </w:tc>
      </w:tr>
      <w:tr w:rsidR="00335E0D" w:rsidRPr="00E33BA5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Cell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</w:p>
        </w:tc>
      </w:tr>
      <w:tr w:rsidR="00335E0D" w:rsidRPr="00A76CAD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</w:t>
            </w:r>
            <w:proofErr w:type="spellEnd"/>
          </w:p>
        </w:tc>
      </w:tr>
      <w:tr w:rsidR="00335E0D" w:rsidRPr="00A76CAD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35E0D" w:rsidRPr="006C487F" w:rsidRDefault="00335E0D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Default="00335E0D" w:rsidP="002D437C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  </w:t>
            </w:r>
          </w:p>
          <w:p w:rsidR="00335E0D" w:rsidRPr="00A01BB4" w:rsidRDefault="00335E0D" w:rsidP="002D437C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  </w:t>
            </w:r>
            <w:proofErr w:type="spellStart"/>
            <w:r w:rsidRPr="00A01BB4">
              <w:rPr>
                <w:rFonts w:asciiTheme="minorHAnsi" w:hAnsiTheme="minorHAnsi" w:cstheme="minorHAnsi"/>
                <w:lang w:val="nn-NO"/>
              </w:rPr>
              <w:t>Bachelor</w:t>
            </w:r>
            <w:proofErr w:type="spellEnd"/>
            <w:r w:rsidRPr="00A01BB4">
              <w:rPr>
                <w:rFonts w:asciiTheme="minorHAnsi" w:hAnsiTheme="minorHAnsi" w:cstheme="minorHAnsi"/>
                <w:lang w:val="nn-NO"/>
              </w:rPr>
              <w:t>/master</w:t>
            </w:r>
          </w:p>
        </w:tc>
      </w:tr>
      <w:tr w:rsidR="00335E0D" w:rsidRPr="00996578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335E0D" w:rsidRPr="00B3115F" w:rsidTr="00335E0D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BC2C33" w:rsidRDefault="00335E0D" w:rsidP="002D437C">
            <w:pPr>
              <w:widowControl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BC2C33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335E0D" w:rsidRPr="00A76CAD" w:rsidRDefault="00335E0D" w:rsidP="002D437C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335E0D" w:rsidRPr="00081041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55735" w:rsidRPr="00A55735" w:rsidRDefault="00335E0D" w:rsidP="00A55735">
            <w:pPr>
              <w:pStyle w:val="BODY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bookmarkStart w:id="0" w:name="_GoBack"/>
            <w:r w:rsidR="00A55735" w:rsidRPr="00A55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Vår (Fargekode: gul)</w:t>
            </w:r>
            <w:bookmarkEnd w:id="0"/>
          </w:p>
          <w:p w:rsidR="00335E0D" w:rsidRPr="00A01BB4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01BB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[Spring]</w:t>
            </w:r>
          </w:p>
          <w:p w:rsidR="00335E0D" w:rsidRPr="00A76CA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A76CA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335E0D" w:rsidRPr="00A536A2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har som mål å gi detaljert forståing av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eukaryote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celler med spesiell vekt på funksjonane til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subcellulære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strukturar og reguleringsmekanismar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involvert i cellekommunikasjon og celledeling. </w:t>
            </w:r>
            <w:r w:rsidRPr="00A536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335E0D" w:rsidRPr="00A76CA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335E0D" w:rsidRPr="00A76CA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335E0D" w:rsidRPr="00A76CA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335E0D" w:rsidRPr="005F097E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tar opp tema som proteinsekresjon,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endocytose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cytoskjelett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intracellulær transport, cellekommunikasjon, celleadhesjon, cellevev, cellesyklus,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apoptose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nervesignalisering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stamceller og kreft. Det blir lagt vekt på molekylær og eksperimentell forståing.</w:t>
            </w:r>
          </w:p>
          <w:p w:rsidR="00335E0D" w:rsidRDefault="00335E0D" w:rsidP="002D437C">
            <w:pPr>
              <w:widowControl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ab/>
            </w:r>
          </w:p>
          <w:p w:rsidR="00335E0D" w:rsidRDefault="00335E0D" w:rsidP="002D437C">
            <w:pPr>
              <w:widowControl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35E0D" w:rsidRDefault="00335E0D" w:rsidP="002D437C">
            <w:pPr>
              <w:widowControl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35E0D" w:rsidRPr="0075425A" w:rsidRDefault="00335E0D" w:rsidP="002D437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335E0D" w:rsidRDefault="00335E0D" w:rsidP="002D437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course aims to give detailed understanding of eukaryotic cells with main focus on the functions of subcellular structures and regulatory mechanisms involved in</w:t>
            </w:r>
            <w:r w:rsidRPr="007542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cell communication and cell division.</w:t>
            </w:r>
          </w:p>
          <w:p w:rsidR="00335E0D" w:rsidRPr="0075425A" w:rsidRDefault="00335E0D" w:rsidP="002D437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5E0D" w:rsidRPr="0075425A" w:rsidRDefault="00335E0D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335E0D" w:rsidRPr="00A76CAD" w:rsidRDefault="00335E0D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5425A">
              <w:rPr>
                <w:rFonts w:asciiTheme="minorHAnsi" w:hAnsiTheme="minorHAnsi" w:cstheme="minorHAnsi"/>
                <w:sz w:val="20"/>
                <w:szCs w:val="20"/>
              </w:rPr>
              <w:t>The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covers topics such as protein secretion, endocytosis, cytoskeleton, intracellular transport, cell communication, cell adhesion, tissues, cell cycle,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apotosis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 nerve signaling, stem cells and cancer. Molecular and experimental understanding will be emphasized.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335E0D" w:rsidRPr="00892FCB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greie ut om sentrale funksjonar i cella og korleis dei er knytt til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subcellulære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strukturar.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skildre sortering og sekresjon av protein og forklara prosessane molekylært.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greie ut om oppbygnaden til dei ulike delane av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cytoskjelettet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deira funksjonar. 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forklara cellekommunikasjon molekylært og samanlikna ulike typar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signalisering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kan greie ut om eigenskapane til protein som har viktige funksjonar i celleadhesjon.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forklara viktige reguleringstrinn i cellesyklus og korleis desse kan knytast til kreftutvikling.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greie ut om dei spesielle eigenskapane til nerveceller og korleis dei kommuniserer. 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greie ut om eigenskapane til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embryonale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stamceller og andre typar stamceller.</w:t>
            </w:r>
          </w:p>
          <w:p w:rsidR="00335E0D" w:rsidRPr="00E40EC7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35E0D" w:rsidRDefault="00335E0D" w:rsidP="002D437C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35E0D" w:rsidRPr="00892FCB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beherskar bruk av viktige omgrep og prinsipp innan molekylær cellebiologi. 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beherskar kunsten å vurdera mogelege samanhengar mellom enkelte sjukdomar (t.d. kreft) og feil i cellebiologiske mekanismar. 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35E0D" w:rsidRPr="00892FCB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* kan formidle detaljert kunnskap i cellebiologi.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35E0D" w:rsidRPr="00726B2E" w:rsidRDefault="00335E0D" w:rsidP="002D43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335E0D" w:rsidRPr="00892FCB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explain essential functions in the cell and how they are associated with subcellular structures.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describe sorting and secretion of proteins and explain the processes in molecular terms.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describe the composition of the different parts of the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cytoskeleton and how they function.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explain cell communication in molecular terms and compare different types of signaling. 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describe the properties of proteins that have important functions in cell adhesion.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explain important steps in cell cycle regulation and how these can be connected to cancer development.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describe the special properties of nerve cells and how they communicate.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describe the properties of embryonic stem cells and other types of stem cells.</w:t>
            </w:r>
          </w:p>
          <w:p w:rsidR="00335E0D" w:rsidRPr="000352EC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335E0D" w:rsidRPr="00892FCB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335E0D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is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able to use important concepts and principles in molecular cell biology.</w:t>
            </w:r>
          </w:p>
          <w:p w:rsidR="00335E0D" w:rsidRPr="00D80F94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Is able to evaluate possible links between certain diseases (e.g. cancer) and errors in cellular mechanisms.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335E0D" w:rsidRPr="00892FCB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335E0D" w:rsidRDefault="00335E0D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335E0D" w:rsidRPr="00D80F94" w:rsidRDefault="00335E0D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communicate detailed knowledge in cell biology.</w:t>
            </w:r>
          </w:p>
          <w:p w:rsidR="00335E0D" w:rsidRPr="00BC2C33" w:rsidRDefault="00335E0D" w:rsidP="002D437C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Default="00335E0D" w:rsidP="002D437C">
            <w:pPr>
              <w:tabs>
                <w:tab w:val="left" w:pos="1324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35E0D" w:rsidRPr="000352EC" w:rsidRDefault="00335E0D" w:rsidP="002D437C">
            <w:pPr>
              <w:tabs>
                <w:tab w:val="left" w:pos="13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MOL100</w:t>
            </w:r>
          </w:p>
        </w:tc>
      </w:tr>
      <w:tr w:rsidR="00335E0D" w:rsidRPr="00A76CAD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MOL200</w:t>
            </w: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335E0D" w:rsidRPr="00D13CD7" w:rsidRDefault="00335E0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335E0D" w:rsidRPr="00D13CD7" w:rsidRDefault="00335E0D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MOL201 10sp</w:t>
            </w: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335E0D" w:rsidRPr="00D13CD7" w:rsidRDefault="00335E0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335E0D" w:rsidRPr="00D13CD7" w:rsidRDefault="00335E0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8562F9" w:rsidRDefault="00335E0D" w:rsidP="00335E0D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335E0D" w:rsidRPr="009C1186" w:rsidRDefault="00335E0D" w:rsidP="00335E0D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[Access to the course requires admission to a programme of study at The Faculty of Mathematics and Natural Sciences]</w:t>
            </w:r>
          </w:p>
        </w:tc>
      </w:tr>
      <w:tr w:rsidR="00335E0D" w:rsidRPr="004415B3" w:rsidTr="00335E0D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E0D" w:rsidRPr="00335E0D" w:rsidRDefault="00335E0D" w:rsidP="00335E0D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35E0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Førelesingar (32 timar)/ 2 eller 4 timar pr. veke</w:t>
            </w:r>
          </w:p>
          <w:p w:rsidR="00335E0D" w:rsidRPr="00335E0D" w:rsidRDefault="00335E0D" w:rsidP="00335E0D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35E0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Kollokvieøvingar/ 2 timar pr. veke (6 veker)</w:t>
            </w:r>
          </w:p>
          <w:p w:rsidR="00335E0D" w:rsidRPr="00D13CD7" w:rsidRDefault="00335E0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335E0D" w:rsidRPr="004415B3" w:rsidTr="00335E0D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517612" w:rsidRDefault="00335E0D" w:rsidP="00335E0D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335E0D" w:rsidRPr="00A76CAD" w:rsidRDefault="00335E0D" w:rsidP="00335E0D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timar), utgjør 100% av karakteren.</w:t>
            </w:r>
          </w:p>
          <w:p w:rsidR="00335E0D" w:rsidRPr="00A76CAD" w:rsidRDefault="00335E0D" w:rsidP="00335E0D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</w:t>
            </w:r>
          </w:p>
          <w:p w:rsidR="00335E0D" w:rsidRPr="00A76CAD" w:rsidRDefault="00335E0D" w:rsidP="00335E0D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335E0D" w:rsidRPr="00517612" w:rsidRDefault="00335E0D" w:rsidP="00335E0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335E0D" w:rsidRPr="00517612" w:rsidRDefault="00335E0D" w:rsidP="00335E0D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 10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0%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</w:p>
          <w:p w:rsidR="00335E0D" w:rsidRPr="00D13CD7" w:rsidRDefault="00335E0D" w:rsidP="00335E0D">
            <w:pPr>
              <w:pStyle w:val="Listeavsnitt"/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335E0D" w:rsidRPr="005474E7" w:rsidTr="00335E0D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Ingen [None]</w:t>
            </w:r>
          </w:p>
          <w:p w:rsidR="00335E0D" w:rsidRPr="00D13CD7" w:rsidRDefault="00335E0D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 xml:space="preserve">Karakterskala 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4415B3" w:rsidRDefault="00335E0D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4415B3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4415B3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335E0D" w:rsidRPr="00D13CD7" w:rsidRDefault="00335E0D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335E0D" w:rsidRPr="00431AB6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335E0D" w:rsidRPr="003C032B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335E0D" w:rsidRPr="00D13CD7" w:rsidRDefault="00335E0D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cs="Calibri"/>
                <w:sz w:val="20"/>
                <w:szCs w:val="20"/>
                <w:lang w:eastAsia="nb-NO"/>
              </w:rPr>
              <w:t>[Examination both spring semester and autumn semester. In semesters without teaching the examination will be arranged at the beginning of the semester.]</w:t>
            </w:r>
          </w:p>
        </w:tc>
      </w:tr>
      <w:tr w:rsidR="00335E0D" w:rsidRPr="004415B3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335E0D" w:rsidRPr="00D13CD7" w:rsidRDefault="00335E0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35E0D" w:rsidRPr="006C487F" w:rsidRDefault="00335E0D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335E0D" w:rsidRPr="00E33BA5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335E0D" w:rsidRPr="00D13CD7" w:rsidRDefault="00335E0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335E0D" w:rsidRPr="00D13CD7" w:rsidRDefault="00335E0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335E0D" w:rsidRPr="006C487F" w:rsidRDefault="00335E0D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335E0D" w:rsidRPr="00622176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335E0D" w:rsidRPr="00D13CD7" w:rsidRDefault="00335E0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335E0D" w:rsidRPr="006C487F" w:rsidRDefault="00335E0D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</w:tc>
      </w:tr>
      <w:tr w:rsidR="00335E0D" w:rsidRPr="00A76CAD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335E0D" w:rsidRPr="00D13CD7" w:rsidRDefault="00335E0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6C487F" w:rsidRDefault="00335E0D" w:rsidP="00335E0D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DA76A2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</w:tc>
      </w:tr>
      <w:tr w:rsidR="00335E0D" w:rsidRPr="00A76CAD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335E0D" w:rsidRPr="00B3115F" w:rsidTr="00335E0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335E0D" w:rsidRPr="00D13CD7" w:rsidRDefault="00335E0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0D" w:rsidRPr="00D13CD7" w:rsidRDefault="00335E0D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335E0D" w:rsidRPr="00D13CD7" w:rsidRDefault="00335E0D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D13CD7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</w:t>
              </w:r>
              <w:r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mbi.</w:t>
              </w:r>
              <w:r w:rsidRPr="00D13CD7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uib.no</w:t>
              </w:r>
            </w:hyperlink>
          </w:p>
          <w:p w:rsidR="00335E0D" w:rsidRPr="00D13CD7" w:rsidRDefault="00335E0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35E0D" w:rsidRPr="00BC2C33" w:rsidRDefault="00335E0D" w:rsidP="00335E0D">
      <w:pPr>
        <w:widowControl/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BC2C33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>
        <w:rPr>
          <w:rFonts w:asciiTheme="minorHAnsi" w:hAnsiTheme="minorHAnsi" w:cstheme="minorHAnsi"/>
          <w:sz w:val="32"/>
          <w:szCs w:val="32"/>
          <w:lang w:val="nn-NO"/>
        </w:rPr>
        <w:tab/>
      </w:r>
      <w:r w:rsidRPr="00BC2C33">
        <w:rPr>
          <w:rFonts w:asciiTheme="minorHAnsi" w:hAnsiTheme="minorHAnsi" w:cstheme="minorHAnsi"/>
          <w:sz w:val="32"/>
          <w:szCs w:val="32"/>
          <w:lang w:val="nn-NO"/>
        </w:rPr>
        <w:t>Molekylær cellebiologi</w:t>
      </w:r>
    </w:p>
    <w:p w:rsidR="00335E0D" w:rsidRPr="00BC2C33" w:rsidRDefault="00335E0D" w:rsidP="00335E0D">
      <w:pPr>
        <w:widowControl/>
        <w:rPr>
          <w:rFonts w:asciiTheme="minorHAnsi" w:hAnsiTheme="minorHAnsi" w:cstheme="minorHAnsi"/>
          <w:sz w:val="32"/>
          <w:szCs w:val="32"/>
        </w:rPr>
      </w:pPr>
      <w:r w:rsidRPr="00BC2C33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BC2C33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BC2C33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BC2C33">
        <w:rPr>
          <w:rFonts w:asciiTheme="minorHAnsi" w:hAnsiTheme="minorHAnsi" w:cstheme="minorHAnsi"/>
          <w:sz w:val="32"/>
          <w:szCs w:val="32"/>
          <w:lang w:val="nn-NO"/>
        </w:rPr>
        <w:t>Molekylær cellebiologi</w:t>
      </w:r>
    </w:p>
    <w:p w:rsidR="00335E0D" w:rsidRDefault="00335E0D" w:rsidP="00335E0D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  <w:r w:rsidRPr="00BC2C33">
        <w:rPr>
          <w:rFonts w:asciiTheme="minorHAnsi" w:hAnsiTheme="minorHAnsi" w:cstheme="minorHAnsi"/>
          <w:sz w:val="32"/>
          <w:szCs w:val="32"/>
        </w:rPr>
        <w:tab/>
      </w:r>
      <w:r w:rsidRPr="00BC2C33">
        <w:rPr>
          <w:rFonts w:asciiTheme="minorHAnsi" w:hAnsiTheme="minorHAnsi" w:cstheme="minorHAnsi"/>
          <w:sz w:val="32"/>
          <w:szCs w:val="32"/>
        </w:rPr>
        <w:tab/>
      </w:r>
      <w:r w:rsidRPr="00BC2C33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proofErr w:type="spellStart"/>
      <w:r w:rsidRPr="00BC2C33">
        <w:rPr>
          <w:rFonts w:asciiTheme="minorHAnsi" w:hAnsiTheme="minorHAnsi" w:cstheme="minorHAnsi"/>
          <w:sz w:val="32"/>
          <w:szCs w:val="32"/>
          <w:lang w:val="nn-NO"/>
        </w:rPr>
        <w:t>Molecular</w:t>
      </w:r>
      <w:proofErr w:type="spellEnd"/>
      <w:r w:rsidRPr="00BC2C33">
        <w:rPr>
          <w:rFonts w:asciiTheme="minorHAnsi" w:hAnsiTheme="minorHAnsi" w:cstheme="minorHAnsi"/>
          <w:sz w:val="32"/>
          <w:szCs w:val="32"/>
          <w:lang w:val="nn-NO"/>
        </w:rPr>
        <w:t xml:space="preserve"> Cell </w:t>
      </w:r>
      <w:proofErr w:type="spellStart"/>
      <w:r w:rsidRPr="00BC2C33">
        <w:rPr>
          <w:rFonts w:asciiTheme="minorHAnsi" w:hAnsiTheme="minorHAnsi" w:cstheme="minorHAnsi"/>
          <w:sz w:val="32"/>
          <w:szCs w:val="32"/>
          <w:lang w:val="nn-NO"/>
        </w:rPr>
        <w:t>Biology</w:t>
      </w:r>
      <w:proofErr w:type="spellEnd"/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335E0D">
      <w:rPr>
        <w:lang w:val="nb-NO"/>
      </w:rPr>
      <w:t>MOL201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2477C"/>
    <w:rsid w:val="00333278"/>
    <w:rsid w:val="00335E0D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55735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customStyle="1" w:styleId="BODY">
    <w:name w:val="BODY"/>
    <w:basedOn w:val="Normal"/>
    <w:uiPriority w:val="99"/>
    <w:rsid w:val="00A55735"/>
    <w:pPr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customStyle="1" w:styleId="BODY">
    <w:name w:val="BODY"/>
    <w:basedOn w:val="Normal"/>
    <w:uiPriority w:val="99"/>
    <w:rsid w:val="00A55735"/>
    <w:pPr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mbi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DE93-EDE1-4CC8-8626-CD539820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A8CE150D.dotm</Template>
  <TotalTime>0</TotalTime>
  <Pages>7</Pages>
  <Words>1234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Lill Kristin Knudsen</cp:lastModifiedBy>
  <cp:revision>3</cp:revision>
  <cp:lastPrinted>2014-11-06T13:45:00Z</cp:lastPrinted>
  <dcterms:created xsi:type="dcterms:W3CDTF">2017-01-31T14:50:00Z</dcterms:created>
  <dcterms:modified xsi:type="dcterms:W3CDTF">2017-01-31T14:54:00Z</dcterms:modified>
</cp:coreProperties>
</file>