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70"/>
        <w:gridCol w:w="8386"/>
      </w:tblGrid>
      <w:tr w:rsidR="006A4BBA" w:rsidRPr="00C41C65" w:rsidTr="00A16F94">
        <w:tblPrEx>
          <w:tblCellMar>
            <w:top w:w="0" w:type="dxa"/>
            <w:bottom w:w="0" w:type="dxa"/>
          </w:tblCellMar>
        </w:tblPrEx>
        <w:tc>
          <w:tcPr>
            <w:tcW w:w="970" w:type="dxa"/>
          </w:tcPr>
          <w:p w:rsidR="006A4BBA" w:rsidRPr="00C41C65" w:rsidRDefault="006A4BBA" w:rsidP="006A4BBA">
            <w:pPr>
              <w:pStyle w:val="Overskrift7"/>
            </w:pPr>
            <w:bookmarkStart w:id="0" w:name="_GoBack"/>
            <w:bookmarkEnd w:id="0"/>
            <w:r w:rsidRPr="00C41C65">
              <w:t xml:space="preserve">Part </w:t>
            </w:r>
            <w:r w:rsidR="00CB495E" w:rsidRPr="00C41C65">
              <w:t>II</w:t>
            </w:r>
          </w:p>
        </w:tc>
        <w:tc>
          <w:tcPr>
            <w:tcW w:w="8386" w:type="dxa"/>
          </w:tcPr>
          <w:p w:rsidR="006A4BBA" w:rsidRPr="00C41C65" w:rsidRDefault="006A4BBA" w:rsidP="006A4BBA">
            <w:pPr>
              <w:pStyle w:val="Overskrift8"/>
            </w:pPr>
            <w:r w:rsidRPr="00C41C65">
              <w:t>Supervisor agreement</w:t>
            </w:r>
          </w:p>
        </w:tc>
      </w:tr>
    </w:tbl>
    <w:p w:rsidR="006A4BBA" w:rsidRPr="00C41C65" w:rsidRDefault="006A4BBA" w:rsidP="006A4BBA"/>
    <w:p w:rsidR="00D35C80" w:rsidRDefault="00D35C80" w:rsidP="006A4BBA">
      <w:pPr>
        <w:jc w:val="both"/>
        <w:rPr>
          <w:b/>
        </w:rPr>
      </w:pPr>
    </w:p>
    <w:p w:rsidR="006A4BBA" w:rsidRPr="00C41C65" w:rsidRDefault="006A4BBA" w:rsidP="006A4BBA">
      <w:pPr>
        <w:jc w:val="both"/>
        <w:rPr>
          <w:b/>
        </w:rPr>
      </w:pPr>
      <w:r w:rsidRPr="00C41C65">
        <w:rPr>
          <w:b/>
        </w:rPr>
        <w:t>1. Parties to the agreement</w:t>
      </w:r>
    </w:p>
    <w:p w:rsidR="006A4BBA" w:rsidRPr="00C41C65" w:rsidRDefault="006A4BBA" w:rsidP="006A4BBA">
      <w:pPr>
        <w:jc w:val="both"/>
      </w:pPr>
      <w:r w:rsidRPr="00C41C65">
        <w:t xml:space="preserve">Part II of this agreement is entered into by the student and </w:t>
      </w:r>
      <w:r>
        <w:t xml:space="preserve">head of </w:t>
      </w:r>
      <w:r w:rsidRPr="00C41C65">
        <w:t>department/academic unit. When nominated, the supervisor signs this agreement.</w:t>
      </w:r>
    </w:p>
    <w:p w:rsidR="006A4BBA" w:rsidRPr="00C41C65" w:rsidRDefault="006A4BBA" w:rsidP="006A4BBA">
      <w:pPr>
        <w:jc w:val="both"/>
      </w:pPr>
    </w:p>
    <w:p w:rsidR="006A4BBA" w:rsidRPr="00C41C65" w:rsidRDefault="006A4BBA" w:rsidP="006A4BBA">
      <w:pPr>
        <w:jc w:val="both"/>
      </w:pPr>
      <w:r w:rsidRPr="00C41C65">
        <w:rPr>
          <w:b/>
        </w:rPr>
        <w:t>2. Appointment of supervisor</w:t>
      </w:r>
    </w:p>
    <w:p w:rsidR="006A4BBA" w:rsidRPr="00C41C65" w:rsidRDefault="006A4BBA" w:rsidP="006A4BBA">
      <w:pPr>
        <w:jc w:val="both"/>
      </w:pPr>
      <w:r w:rsidRPr="00C41C65">
        <w:t>Appointment of supervisor(s) takes place at the department/academic unit.</w:t>
      </w:r>
    </w:p>
    <w:p w:rsidR="006A4BBA" w:rsidRPr="00742AAD" w:rsidRDefault="006A4BBA" w:rsidP="006A4BBA">
      <w:pPr>
        <w:jc w:val="both"/>
        <w:rPr>
          <w:sz w:val="16"/>
          <w:szCs w:val="16"/>
        </w:rPr>
      </w:pPr>
    </w:p>
    <w:p w:rsidR="006A4BBA" w:rsidRPr="00312C23" w:rsidRDefault="006A4BBA" w:rsidP="006A4BBA">
      <w:pPr>
        <w:jc w:val="both"/>
        <w:rPr>
          <w:i/>
        </w:rPr>
      </w:pPr>
      <w:r w:rsidRPr="00312C23">
        <w:rPr>
          <w:i/>
        </w:rPr>
        <w:t>Long assignment of 60 sp:</w:t>
      </w:r>
    </w:p>
    <w:p w:rsidR="006A4BBA" w:rsidRPr="00C41C65" w:rsidRDefault="006A4BBA" w:rsidP="006A4BBA">
      <w:pPr>
        <w:jc w:val="both"/>
      </w:pPr>
      <w:r w:rsidRPr="00C41C65">
        <w:t xml:space="preserve">Students who are accepted for </w:t>
      </w:r>
      <w:r>
        <w:t>master’s</w:t>
      </w:r>
      <w:r w:rsidRPr="00C41C65">
        <w:t xml:space="preserve"> degree </w:t>
      </w:r>
      <w:r>
        <w:t>programme</w:t>
      </w:r>
      <w:r w:rsidRPr="00C41C65">
        <w:t>s usually opt for an assignment in t</w:t>
      </w:r>
      <w:r w:rsidR="00165E58">
        <w:t>he course of the first semester</w:t>
      </w:r>
      <w:r w:rsidRPr="00C41C65">
        <w:t>.</w:t>
      </w:r>
    </w:p>
    <w:p w:rsidR="006A4BBA" w:rsidRPr="00C41C65" w:rsidRDefault="006A4BBA" w:rsidP="006A4BBA">
      <w:pPr>
        <w:jc w:val="both"/>
      </w:pPr>
      <w:r w:rsidRPr="00C41C65">
        <w:t xml:space="preserve">The student shall present a project description to the </w:t>
      </w:r>
      <w:r>
        <w:t>programme</w:t>
      </w:r>
      <w:r w:rsidRPr="00C41C65">
        <w:t xml:space="preserve"> </w:t>
      </w:r>
      <w:r>
        <w:t>committee</w:t>
      </w:r>
      <w:r w:rsidRPr="00C41C65">
        <w:t xml:space="preserve"> by  ..................…</w:t>
      </w:r>
      <w:r w:rsidRPr="00C41C65">
        <w:rPr>
          <w:rStyle w:val="Fotnotereferanse"/>
        </w:rPr>
        <w:footnoteReference w:id="1"/>
      </w:r>
    </w:p>
    <w:p w:rsidR="006A4BBA" w:rsidRPr="00C41C65" w:rsidRDefault="006A4BBA" w:rsidP="006A4BBA">
      <w:pPr>
        <w:jc w:val="both"/>
        <w:rPr>
          <w:sz w:val="18"/>
          <w:szCs w:val="18"/>
        </w:rPr>
      </w:pPr>
      <w:r w:rsidRPr="00C41C65">
        <w:t> </w:t>
      </w:r>
      <w:r>
        <w:tab/>
      </w:r>
      <w:r>
        <w:tab/>
      </w:r>
      <w:r>
        <w:tab/>
      </w:r>
      <w:r>
        <w:tab/>
      </w:r>
      <w:r>
        <w:tab/>
      </w:r>
      <w:r>
        <w:tab/>
      </w:r>
      <w:r>
        <w:tab/>
      </w:r>
      <w:r>
        <w:tab/>
      </w:r>
      <w:r>
        <w:tab/>
      </w:r>
      <w:r>
        <w:tab/>
      </w:r>
      <w:r>
        <w:tab/>
      </w:r>
      <w:r w:rsidR="00565A06">
        <w:t xml:space="preserve">   </w:t>
      </w:r>
      <w:proofErr w:type="spellStart"/>
      <w:r w:rsidRPr="00C41C65">
        <w:rPr>
          <w:sz w:val="18"/>
          <w:szCs w:val="18"/>
        </w:rPr>
        <w:t>dd</w:t>
      </w:r>
      <w:proofErr w:type="spellEnd"/>
      <w:r w:rsidRPr="00C41C65">
        <w:rPr>
          <w:sz w:val="18"/>
          <w:szCs w:val="18"/>
        </w:rPr>
        <w:t>/mm/yr</w:t>
      </w:r>
    </w:p>
    <w:p w:rsidR="006A4BBA" w:rsidRPr="00312C23" w:rsidRDefault="006A4BBA" w:rsidP="006A4BBA">
      <w:pPr>
        <w:jc w:val="both"/>
        <w:rPr>
          <w:i/>
        </w:rPr>
      </w:pPr>
      <w:r w:rsidRPr="00312C23">
        <w:rPr>
          <w:i/>
        </w:rPr>
        <w:t>Short assignment of 30 sp:</w:t>
      </w:r>
    </w:p>
    <w:p w:rsidR="006A4BBA" w:rsidRPr="00C41C65" w:rsidRDefault="006A4BBA" w:rsidP="006A4BBA">
      <w:pPr>
        <w:jc w:val="both"/>
      </w:pPr>
      <w:r w:rsidRPr="00C41C65">
        <w:t xml:space="preserve">Students who are accepted for a </w:t>
      </w:r>
      <w:r>
        <w:t>master’s</w:t>
      </w:r>
      <w:r w:rsidRPr="00C41C65">
        <w:t xml:space="preserve"> degree </w:t>
      </w:r>
      <w:r>
        <w:t>programme</w:t>
      </w:r>
      <w:r w:rsidRPr="00C41C65">
        <w:t xml:space="preserve"> with a short </w:t>
      </w:r>
      <w:r>
        <w:t>master’s</w:t>
      </w:r>
      <w:r w:rsidRPr="00C41C65">
        <w:t xml:space="preserve"> thesis normally select an assignment when the theoretical syllabus has virtually been completed, and at the latest one month before the end of the third semester. </w:t>
      </w:r>
    </w:p>
    <w:p w:rsidR="006A4BBA" w:rsidRDefault="006A4BBA" w:rsidP="006A4BBA">
      <w:pPr>
        <w:jc w:val="both"/>
      </w:pPr>
      <w:r w:rsidRPr="00C41C65">
        <w:t xml:space="preserve">The student shall present a project description to the </w:t>
      </w:r>
      <w:r>
        <w:t>programme</w:t>
      </w:r>
      <w:r w:rsidRPr="00C41C65">
        <w:t xml:space="preserve"> </w:t>
      </w:r>
      <w:r>
        <w:t xml:space="preserve">committee </w:t>
      </w:r>
      <w:r w:rsidRPr="00C41C65">
        <w:t>by  .................…</w:t>
      </w:r>
      <w:r w:rsidRPr="00C41C65">
        <w:rPr>
          <w:rStyle w:val="Fotnotereferanse"/>
        </w:rPr>
        <w:footnoteReference w:id="2"/>
      </w:r>
    </w:p>
    <w:p w:rsidR="006A4BBA" w:rsidRPr="00C41C65" w:rsidRDefault="006A4BBA" w:rsidP="006A4BBA">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65A06">
        <w:rPr>
          <w:sz w:val="18"/>
          <w:szCs w:val="18"/>
        </w:rPr>
        <w:t xml:space="preserve">   </w:t>
      </w:r>
      <w:proofErr w:type="spellStart"/>
      <w:r w:rsidRPr="00C41C65">
        <w:rPr>
          <w:sz w:val="18"/>
          <w:szCs w:val="18"/>
        </w:rPr>
        <w:t>dd</w:t>
      </w:r>
      <w:proofErr w:type="spellEnd"/>
      <w:r w:rsidRPr="00C41C65">
        <w:rPr>
          <w:sz w:val="18"/>
          <w:szCs w:val="18"/>
        </w:rPr>
        <w:t>/mm/yr</w:t>
      </w:r>
    </w:p>
    <w:p w:rsidR="006A4BBA" w:rsidRPr="00742AAD" w:rsidRDefault="006A4BBA" w:rsidP="006A4BBA">
      <w:pPr>
        <w:jc w:val="both"/>
        <w:rPr>
          <w:sz w:val="16"/>
          <w:szCs w:val="16"/>
        </w:rPr>
      </w:pPr>
    </w:p>
    <w:p w:rsidR="006A4BBA" w:rsidRPr="00C41C65" w:rsidRDefault="006A4BBA" w:rsidP="006A4BBA">
      <w:pPr>
        <w:jc w:val="both"/>
      </w:pPr>
      <w:r w:rsidRPr="00C41C65">
        <w:t>The project description is to be approved by the supervisor by .....................…</w:t>
      </w:r>
    </w:p>
    <w:p w:rsidR="006A4BBA" w:rsidRPr="00C41C65" w:rsidRDefault="006A4BBA" w:rsidP="00CC7650">
      <w:pPr>
        <w:ind w:left="5664" w:firstLine="708"/>
        <w:jc w:val="both"/>
        <w:rPr>
          <w:sz w:val="18"/>
          <w:szCs w:val="18"/>
        </w:rPr>
      </w:pPr>
      <w:proofErr w:type="spellStart"/>
      <w:r w:rsidRPr="00C41C65">
        <w:rPr>
          <w:sz w:val="18"/>
          <w:szCs w:val="18"/>
        </w:rPr>
        <w:t>dd</w:t>
      </w:r>
      <w:proofErr w:type="spellEnd"/>
      <w:r w:rsidRPr="00C41C65">
        <w:rPr>
          <w:sz w:val="18"/>
          <w:szCs w:val="18"/>
        </w:rPr>
        <w:t>/mm/yr</w:t>
      </w:r>
    </w:p>
    <w:p w:rsidR="006A4BBA" w:rsidRPr="00C41C65" w:rsidRDefault="006A4BBA" w:rsidP="006A4BBA">
      <w:pPr>
        <w:jc w:val="both"/>
        <w:rPr>
          <w:sz w:val="16"/>
          <w:szCs w:val="16"/>
        </w:rPr>
      </w:pPr>
    </w:p>
    <w:p w:rsidR="006A4BBA" w:rsidRPr="00C41C65" w:rsidRDefault="006A4BBA" w:rsidP="006A4BBA">
      <w:pPr>
        <w:pStyle w:val="Brdtekst"/>
      </w:pPr>
      <w:r w:rsidRPr="00C41C65">
        <w:t>In cases where there is more than one supervisor, the distribution of responsibility shall be clarified between the supervisors. This forms the basis for the distribution of resources according to results. The ratio is set to 25/75 or 50/50, depending on whether it is a secondary supervisor and a main supervisor, or two supervisors of equal status.</w:t>
      </w:r>
    </w:p>
    <w:p w:rsidR="006A4BBA" w:rsidRPr="00742AAD" w:rsidRDefault="006A4BBA" w:rsidP="006A4BBA">
      <w:pPr>
        <w:jc w:val="both"/>
        <w:rPr>
          <w:sz w:val="16"/>
          <w:szCs w:val="16"/>
        </w:rPr>
      </w:pPr>
    </w:p>
    <w:p w:rsidR="006A4BBA" w:rsidRPr="00C41C65" w:rsidRDefault="006A4BBA" w:rsidP="006A4BBA">
      <w:pPr>
        <w:jc w:val="both"/>
      </w:pPr>
      <w:r w:rsidRPr="00C41C65">
        <w:t xml:space="preserve">Full-time students are entitled to have supervision for their </w:t>
      </w:r>
      <w:r>
        <w:t>master’s</w:t>
      </w:r>
      <w:r w:rsidRPr="00C41C65">
        <w:t xml:space="preserve"> degree thesis in …...... semester</w:t>
      </w:r>
      <w:r w:rsidR="0052413D">
        <w:t>s</w:t>
      </w:r>
      <w:r w:rsidRPr="00C41C65">
        <w:t>.</w:t>
      </w:r>
    </w:p>
    <w:p w:rsidR="006A4BBA" w:rsidRPr="00C41C65" w:rsidRDefault="006A4BBA" w:rsidP="006A4BBA">
      <w:pPr>
        <w:jc w:val="both"/>
      </w:pPr>
    </w:p>
    <w:p w:rsidR="006A4BBA" w:rsidRPr="00C41C65" w:rsidRDefault="006A4BBA" w:rsidP="006A4BBA">
      <w:pPr>
        <w:jc w:val="both"/>
        <w:rPr>
          <w:b/>
        </w:rPr>
      </w:pPr>
      <w:r w:rsidRPr="00C41C65">
        <w:rPr>
          <w:b/>
        </w:rPr>
        <w:t>3. Scope and nature of supervision</w:t>
      </w:r>
    </w:p>
    <w:p w:rsidR="006A4BBA" w:rsidRPr="00C41C65" w:rsidRDefault="00777D54" w:rsidP="00777D54">
      <w:r>
        <w:t>A f</w:t>
      </w:r>
      <w:r w:rsidR="006A4BBA" w:rsidRPr="00C41C65">
        <w:t xml:space="preserve">ull-time student on a </w:t>
      </w:r>
      <w:r w:rsidR="006A4BBA">
        <w:t xml:space="preserve">master’s degree programme in </w:t>
      </w:r>
      <w:r w:rsidR="006A4BBA" w:rsidRPr="00C41C65">
        <w:t xml:space="preserve">.............................................................. </w:t>
      </w:r>
      <w:r>
        <w:t>is</w:t>
      </w:r>
      <w:r w:rsidR="006A4BBA" w:rsidRPr="00C41C65">
        <w:t xml:space="preserve"> entitled to receive up to </w:t>
      </w:r>
      <w:r w:rsidR="006A4BBA">
        <w:t>40</w:t>
      </w:r>
      <w:r w:rsidR="006A4BBA" w:rsidRPr="00C41C65">
        <w:t xml:space="preserve"> hours of supervision individually or in groups during the  study. In the event of extension of the agreement in accordance with section 4, Part I, the number of hours can be adjusted. </w:t>
      </w:r>
    </w:p>
    <w:p w:rsidR="00742AAD" w:rsidRPr="00742AAD" w:rsidRDefault="00742AAD" w:rsidP="00742AAD">
      <w:pPr>
        <w:jc w:val="both"/>
        <w:rPr>
          <w:sz w:val="16"/>
          <w:szCs w:val="16"/>
        </w:rPr>
      </w:pPr>
    </w:p>
    <w:p w:rsidR="006A4BBA" w:rsidRPr="00C41C65" w:rsidRDefault="006A4BBA" w:rsidP="00742AAD">
      <w:pPr>
        <w:jc w:val="both"/>
      </w:pPr>
      <w:r w:rsidRPr="00C41C65">
        <w:t xml:space="preserve">Part-time students’ right to supervision is to be agreed on and apportioned in accordance with an agreed progress plan for the study. </w:t>
      </w:r>
    </w:p>
    <w:p w:rsidR="006A4BBA" w:rsidRPr="00742AAD" w:rsidRDefault="006A4BBA" w:rsidP="006A4BBA">
      <w:pPr>
        <w:jc w:val="both"/>
        <w:rPr>
          <w:sz w:val="16"/>
          <w:szCs w:val="16"/>
        </w:rPr>
      </w:pPr>
    </w:p>
    <w:p w:rsidR="006A4BBA" w:rsidRPr="00C41C65" w:rsidRDefault="006A4BBA" w:rsidP="006A4BBA">
      <w:pPr>
        <w:jc w:val="both"/>
      </w:pPr>
      <w:r w:rsidRPr="00C41C65">
        <w:t>Supervisor(s) shall give advice on formulation and demarcation of subjects and problem approaches for the thesis, literature, subject contents, tasks and progress plan. Supervisor(s) are under obligation to receive and discuss drafts with the student. This shall normally take place at meetings, but other arrangements can be agreed on. Supervision takes place on demand and shall be scheduled evenly throughout the agreed period. Supervisor(s) shall record an overview of the supervision in order to monitor the progress in the candidate’s work and assess this in relation to the plan of work.</w:t>
      </w:r>
    </w:p>
    <w:p w:rsidR="006A4BBA" w:rsidRPr="00742AAD" w:rsidRDefault="006A4BBA" w:rsidP="006A4BBA">
      <w:pPr>
        <w:jc w:val="both"/>
        <w:rPr>
          <w:sz w:val="16"/>
          <w:szCs w:val="16"/>
        </w:rPr>
      </w:pPr>
    </w:p>
    <w:p w:rsidR="006A4BBA" w:rsidRPr="00C41C65" w:rsidRDefault="006A4BBA" w:rsidP="006A4BBA">
      <w:pPr>
        <w:jc w:val="both"/>
      </w:pPr>
      <w:r w:rsidRPr="00C41C65">
        <w:lastRenderedPageBreak/>
        <w:t xml:space="preserve">The student is obliged to keep the supervisor(s) informed about the work, at least twice a semester, if necessary by written notification. This applies also to practical aspects that are essential for the progress of the </w:t>
      </w:r>
      <w:r>
        <w:t>master’s</w:t>
      </w:r>
      <w:r w:rsidRPr="00C41C65">
        <w:t xml:space="preserve"> degree project. The student is obliged to abide by the principles of research </w:t>
      </w:r>
      <w:r w:rsidR="00D320E8">
        <w:t xml:space="preserve">ethics </w:t>
      </w:r>
      <w:r w:rsidRPr="00C41C65">
        <w:t>applicable to the subject area.</w:t>
      </w:r>
    </w:p>
    <w:p w:rsidR="006A4BBA" w:rsidRPr="00742AAD" w:rsidRDefault="006A4BBA" w:rsidP="006A4BBA">
      <w:pPr>
        <w:jc w:val="both"/>
        <w:rPr>
          <w:sz w:val="16"/>
          <w:szCs w:val="16"/>
        </w:rPr>
      </w:pPr>
    </w:p>
    <w:p w:rsidR="006A4BBA" w:rsidRPr="00C41C65" w:rsidRDefault="006A4BBA" w:rsidP="006A4BBA">
      <w:pPr>
        <w:pStyle w:val="Brdtekst"/>
      </w:pPr>
      <w:r w:rsidRPr="00C41C65">
        <w:t xml:space="preserve">Any external supervisors shall inform the </w:t>
      </w:r>
      <w:r>
        <w:t>programme</w:t>
      </w:r>
      <w:r w:rsidRPr="00C41C65">
        <w:t xml:space="preserve"> </w:t>
      </w:r>
      <w:r>
        <w:t>committee</w:t>
      </w:r>
      <w:r w:rsidRPr="00C41C65">
        <w:t xml:space="preserve"> about progress in the work on the </w:t>
      </w:r>
      <w:r>
        <w:t>master’s</w:t>
      </w:r>
      <w:r w:rsidRPr="00C41C65">
        <w:t xml:space="preserve"> degree </w:t>
      </w:r>
      <w:r>
        <w:t>programme</w:t>
      </w:r>
      <w:r w:rsidRPr="00C41C65">
        <w:t>, at least once a semester.</w:t>
      </w:r>
    </w:p>
    <w:p w:rsidR="006A4BBA" w:rsidRPr="00C41C65" w:rsidRDefault="006A4BBA" w:rsidP="006A4BBA"/>
    <w:p w:rsidR="006A4BBA" w:rsidRPr="00C41C65" w:rsidRDefault="006A4BBA" w:rsidP="006A4BBA">
      <w:r w:rsidRPr="00C41C65">
        <w:rPr>
          <w:b/>
        </w:rPr>
        <w:t xml:space="preserve">4. Changes in supervision conditions </w:t>
      </w:r>
      <w:r w:rsidRPr="00C41C65">
        <w:t xml:space="preserve"> </w:t>
      </w:r>
    </w:p>
    <w:p w:rsidR="006A4BBA" w:rsidRPr="00C41C65" w:rsidRDefault="006A4BBA" w:rsidP="006A4BBA">
      <w:r w:rsidRPr="00C41C65">
        <w:t xml:space="preserve">Both supervisor and student may request that the supervision agreement be cancelled. The student and </w:t>
      </w:r>
      <w:r>
        <w:t>programme</w:t>
      </w:r>
      <w:r w:rsidRPr="00C41C65">
        <w:t xml:space="preserve"> </w:t>
      </w:r>
      <w:r>
        <w:t>committee</w:t>
      </w:r>
      <w:r w:rsidRPr="00C41C65">
        <w:t xml:space="preserve"> are mutually obliged to inform the other party of any problem with fulfilling the agreement.</w:t>
      </w:r>
    </w:p>
    <w:p w:rsidR="006A4BBA" w:rsidRPr="00742AAD" w:rsidRDefault="006A4BBA" w:rsidP="006A4BBA">
      <w:pPr>
        <w:rPr>
          <w:sz w:val="16"/>
          <w:szCs w:val="16"/>
        </w:rPr>
      </w:pPr>
    </w:p>
    <w:p w:rsidR="006A4BBA" w:rsidRPr="00032FE6" w:rsidRDefault="00ED2789" w:rsidP="006A4BBA">
      <w:r w:rsidRPr="00877966">
        <w:t xml:space="preserve">The programme committee is to be notified as soon as possible if serious problems </w:t>
      </w:r>
      <w:r w:rsidR="00FF4E24" w:rsidRPr="00877966">
        <w:t>arise in regards to the</w:t>
      </w:r>
      <w:r w:rsidRPr="00877966">
        <w:t xml:space="preserve"> progress </w:t>
      </w:r>
      <w:r w:rsidR="00FF4E24" w:rsidRPr="00877966">
        <w:t>of</w:t>
      </w:r>
      <w:r w:rsidRPr="00877966">
        <w:t xml:space="preserve"> the candidate’s work. </w:t>
      </w:r>
      <w:r w:rsidR="006A4BBA" w:rsidRPr="00877966">
        <w:t>If the student finds the supervision to be unsatisfactory</w:t>
      </w:r>
      <w:r w:rsidRPr="00877966">
        <w:t xml:space="preserve"> </w:t>
      </w:r>
      <w:r w:rsidR="00B54C41" w:rsidRPr="00877966">
        <w:t>in accordance</w:t>
      </w:r>
      <w:r w:rsidRPr="00877966">
        <w:t xml:space="preserve"> </w:t>
      </w:r>
      <w:r w:rsidR="00FF4E24" w:rsidRPr="00877966">
        <w:t>with the stipulations</w:t>
      </w:r>
      <w:r w:rsidR="00B54C41" w:rsidRPr="00877966">
        <w:t xml:space="preserve"> in this </w:t>
      </w:r>
      <w:r w:rsidRPr="00877966">
        <w:t>agreement</w:t>
      </w:r>
      <w:r w:rsidR="006A4BBA" w:rsidRPr="00877966">
        <w:t xml:space="preserve">, he/she shall notify the programme committee </w:t>
      </w:r>
      <w:r w:rsidRPr="00877966">
        <w:t>as soon as possible</w:t>
      </w:r>
      <w:r w:rsidR="006A4BBA" w:rsidRPr="00877966">
        <w:t>.</w:t>
      </w:r>
      <w:r w:rsidRPr="00877966">
        <w:t xml:space="preserve"> </w:t>
      </w:r>
      <w:r w:rsidR="004718C2" w:rsidRPr="00877966">
        <w:t>The programme committee is to be contacted through the study counsellor for the programme. T</w:t>
      </w:r>
      <w:r w:rsidR="006A4BBA" w:rsidRPr="00877966">
        <w:t xml:space="preserve">he programme committee will assess whether the supervision </w:t>
      </w:r>
      <w:r w:rsidR="00FF4E24" w:rsidRPr="00877966">
        <w:t>agreement</w:t>
      </w:r>
      <w:r w:rsidR="006A4BBA" w:rsidRPr="00877966">
        <w:t xml:space="preserve"> shall be changed or cancelled.</w:t>
      </w:r>
    </w:p>
    <w:p w:rsidR="006A4BBA" w:rsidRPr="00032FE6" w:rsidRDefault="006A4BBA" w:rsidP="006A4BBA">
      <w:pPr>
        <w:rPr>
          <w:sz w:val="16"/>
          <w:szCs w:val="16"/>
        </w:rPr>
      </w:pPr>
    </w:p>
    <w:p w:rsidR="00C95758" w:rsidRPr="00C95758" w:rsidRDefault="00C95758" w:rsidP="00C95758">
      <w:pPr>
        <w:spacing w:before="120"/>
        <w:jc w:val="both"/>
        <w:rPr>
          <w:lang w:val="en-US"/>
        </w:rPr>
      </w:pPr>
      <w:r w:rsidRPr="00C95758">
        <w:rPr>
          <w:lang w:val="en-US"/>
        </w:rPr>
        <w:t>If the supervisor or the student believes that the supervisory relationship is contrary to the guidelines</w:t>
      </w:r>
      <w:r>
        <w:rPr>
          <w:rStyle w:val="Fotnotereferanse"/>
          <w:lang w:val="en-US"/>
        </w:rPr>
        <w:footnoteReference w:id="3"/>
      </w:r>
      <w:r w:rsidRPr="00C95758">
        <w:rPr>
          <w:lang w:val="en-US"/>
        </w:rPr>
        <w:t xml:space="preserve"> at </w:t>
      </w:r>
      <w:proofErr w:type="spellStart"/>
      <w:r w:rsidRPr="00C95758">
        <w:rPr>
          <w:lang w:val="en-US"/>
        </w:rPr>
        <w:t>UiB</w:t>
      </w:r>
      <w:proofErr w:type="spellEnd"/>
      <w:r w:rsidRPr="00C95758">
        <w:rPr>
          <w:lang w:val="en-US"/>
        </w:rPr>
        <w:t xml:space="preserve">, it should be reported to the </w:t>
      </w:r>
      <w:proofErr w:type="spellStart"/>
      <w:r w:rsidRPr="00C95758">
        <w:rPr>
          <w:lang w:val="en-US"/>
        </w:rPr>
        <w:t>Programme</w:t>
      </w:r>
      <w:proofErr w:type="spellEnd"/>
      <w:r w:rsidRPr="00C95758">
        <w:rPr>
          <w:lang w:val="en-US"/>
        </w:rPr>
        <w:t xml:space="preserve"> Board or the administrative coordinator (study counsellor) in the </w:t>
      </w:r>
      <w:proofErr w:type="spellStart"/>
      <w:r w:rsidRPr="00C95758">
        <w:rPr>
          <w:lang w:val="en-US"/>
        </w:rPr>
        <w:t>program</w:t>
      </w:r>
      <w:r w:rsidR="00B741E1">
        <w:rPr>
          <w:lang w:val="en-US"/>
        </w:rPr>
        <w:t>me</w:t>
      </w:r>
      <w:proofErr w:type="spellEnd"/>
      <w:r w:rsidRPr="00C95758">
        <w:rPr>
          <w:lang w:val="en-US"/>
        </w:rPr>
        <w:t>.</w:t>
      </w:r>
    </w:p>
    <w:p w:rsidR="006A4BBA" w:rsidRPr="00C95758" w:rsidRDefault="006A4BBA" w:rsidP="006A4BBA">
      <w:pPr>
        <w:rPr>
          <w:sz w:val="16"/>
          <w:szCs w:val="16"/>
          <w:lang w:val="en-US"/>
        </w:rPr>
      </w:pPr>
    </w:p>
    <w:p w:rsidR="00365E73" w:rsidRPr="00877966" w:rsidRDefault="00365E73" w:rsidP="00365E73">
      <w:pPr>
        <w:autoSpaceDE w:val="0"/>
        <w:autoSpaceDN w:val="0"/>
        <w:adjustRightInd w:val="0"/>
        <w:rPr>
          <w:rFonts w:ascii="Times-Bold" w:hAnsi="Times-Bold" w:cs="Times-Bold"/>
          <w:b/>
          <w:bCs/>
          <w:szCs w:val="24"/>
        </w:rPr>
      </w:pPr>
      <w:r w:rsidRPr="00877966">
        <w:rPr>
          <w:b/>
        </w:rPr>
        <w:t xml:space="preserve">5. </w:t>
      </w:r>
      <w:r w:rsidRPr="00877966">
        <w:rPr>
          <w:rFonts w:ascii="Times-Bold" w:hAnsi="Times-Bold" w:cs="Times-Bold"/>
          <w:b/>
          <w:bCs/>
          <w:szCs w:val="24"/>
        </w:rPr>
        <w:t>Publishing</w:t>
      </w:r>
    </w:p>
    <w:p w:rsidR="00365E73" w:rsidRPr="00877966" w:rsidRDefault="00365E73" w:rsidP="00287CEE">
      <w:pPr>
        <w:autoSpaceDE w:val="0"/>
        <w:autoSpaceDN w:val="0"/>
        <w:adjustRightInd w:val="0"/>
        <w:rPr>
          <w:b/>
        </w:rPr>
      </w:pPr>
      <w:r w:rsidRPr="00877966">
        <w:rPr>
          <w:rFonts w:ascii="Times-Roman" w:hAnsi="Times-Roman" w:cs="Times-Roman"/>
          <w:szCs w:val="24"/>
        </w:rPr>
        <w:t xml:space="preserve">The supervisor has the right to publish the results from the </w:t>
      </w:r>
      <w:r w:rsidR="00287CEE" w:rsidRPr="00877966">
        <w:rPr>
          <w:rFonts w:ascii="Times-Roman" w:hAnsi="Times-Roman" w:cs="Times-Roman"/>
          <w:szCs w:val="24"/>
        </w:rPr>
        <w:t xml:space="preserve">master's </w:t>
      </w:r>
      <w:r w:rsidRPr="00877966">
        <w:rPr>
          <w:rFonts w:ascii="Times-Roman" w:hAnsi="Times-Roman" w:cs="Times-Roman"/>
          <w:szCs w:val="24"/>
        </w:rPr>
        <w:t>thesis, but the student shall</w:t>
      </w:r>
      <w:r w:rsidR="00287CEE" w:rsidRPr="00877966">
        <w:rPr>
          <w:rFonts w:ascii="Times-Roman" w:hAnsi="Times-Roman" w:cs="Times-Roman"/>
          <w:szCs w:val="24"/>
        </w:rPr>
        <w:t xml:space="preserve"> </w:t>
      </w:r>
      <w:r w:rsidRPr="00877966">
        <w:rPr>
          <w:rFonts w:ascii="Times-Roman" w:hAnsi="Times-Roman" w:cs="Times-Roman"/>
          <w:szCs w:val="24"/>
        </w:rPr>
        <w:t>normally be the first author</w:t>
      </w:r>
      <w:r w:rsidR="00F02BB8" w:rsidRPr="00877966">
        <w:rPr>
          <w:rFonts w:ascii="Times-Roman" w:hAnsi="Times-Roman" w:cs="Times-Roman"/>
          <w:szCs w:val="24"/>
        </w:rPr>
        <w:t xml:space="preserve"> if the publication is mainly about the results of the thesis</w:t>
      </w:r>
      <w:r w:rsidRPr="00877966">
        <w:rPr>
          <w:rFonts w:ascii="Times-Roman" w:hAnsi="Times-Roman" w:cs="Times-Roman"/>
          <w:szCs w:val="24"/>
        </w:rPr>
        <w:t>. If the results from the thesis are only part of a publication, the</w:t>
      </w:r>
      <w:r w:rsidR="00287CEE" w:rsidRPr="00877966">
        <w:rPr>
          <w:rFonts w:ascii="Times-Roman" w:hAnsi="Times-Roman" w:cs="Times-Roman"/>
          <w:szCs w:val="24"/>
        </w:rPr>
        <w:t xml:space="preserve"> </w:t>
      </w:r>
      <w:r w:rsidRPr="00877966">
        <w:rPr>
          <w:rFonts w:ascii="Times-Roman" w:hAnsi="Times-Roman" w:cs="Times-Roman"/>
          <w:szCs w:val="24"/>
        </w:rPr>
        <w:t>student shall be co-author.</w:t>
      </w:r>
    </w:p>
    <w:p w:rsidR="00365E73" w:rsidRPr="00877966" w:rsidRDefault="00365E73" w:rsidP="006A4BBA"/>
    <w:p w:rsidR="00365E73" w:rsidRPr="00877966" w:rsidRDefault="00365E73" w:rsidP="00365E73">
      <w:pPr>
        <w:autoSpaceDE w:val="0"/>
        <w:autoSpaceDN w:val="0"/>
        <w:adjustRightInd w:val="0"/>
        <w:rPr>
          <w:rFonts w:ascii="Times-Bold" w:hAnsi="Times-Bold" w:cs="Times-Bold"/>
          <w:b/>
          <w:bCs/>
          <w:szCs w:val="24"/>
        </w:rPr>
      </w:pPr>
      <w:r w:rsidRPr="00877966">
        <w:rPr>
          <w:b/>
        </w:rPr>
        <w:t xml:space="preserve">6. </w:t>
      </w:r>
      <w:r w:rsidRPr="00877966">
        <w:rPr>
          <w:rFonts w:ascii="Times-Bold" w:hAnsi="Times-Bold" w:cs="Times-Bold"/>
          <w:b/>
          <w:bCs/>
          <w:szCs w:val="24"/>
        </w:rPr>
        <w:t>Rights relating to use of the results</w:t>
      </w:r>
    </w:p>
    <w:p w:rsidR="00365E73" w:rsidRPr="00365E73" w:rsidRDefault="00365E73" w:rsidP="00CD4F9F">
      <w:pPr>
        <w:autoSpaceDE w:val="0"/>
        <w:autoSpaceDN w:val="0"/>
        <w:adjustRightInd w:val="0"/>
        <w:rPr>
          <w:b/>
        </w:rPr>
      </w:pPr>
      <w:r w:rsidRPr="00877966">
        <w:rPr>
          <w:rFonts w:ascii="Times-Roman" w:hAnsi="Times-Roman" w:cs="Times-Roman"/>
          <w:szCs w:val="24"/>
        </w:rPr>
        <w:t xml:space="preserve">This agreement may consist </w:t>
      </w:r>
      <w:r w:rsidR="004A4AA1" w:rsidRPr="00877966">
        <w:rPr>
          <w:rFonts w:ascii="Times-Roman" w:hAnsi="Times-Roman" w:cs="Times-Roman"/>
          <w:szCs w:val="24"/>
        </w:rPr>
        <w:t>of a separate agreement</w:t>
      </w:r>
      <w:r w:rsidRPr="00877966">
        <w:rPr>
          <w:rFonts w:ascii="Times-Roman" w:hAnsi="Times-Roman" w:cs="Times-Roman"/>
          <w:szCs w:val="24"/>
        </w:rPr>
        <w:t xml:space="preserve"> regulating rights to the results, including</w:t>
      </w:r>
      <w:r w:rsidR="00CD4F9F">
        <w:rPr>
          <w:rFonts w:ascii="Times-Roman" w:hAnsi="Times-Roman" w:cs="Times-Roman"/>
          <w:szCs w:val="24"/>
        </w:rPr>
        <w:t xml:space="preserve"> </w:t>
      </w:r>
      <w:r w:rsidRPr="00877966">
        <w:rPr>
          <w:rFonts w:ascii="Times-Roman" w:hAnsi="Times-Roman" w:cs="Times-Roman"/>
          <w:szCs w:val="24"/>
        </w:rPr>
        <w:t>external data made available for the students.</w:t>
      </w:r>
    </w:p>
    <w:p w:rsidR="006A4BBA" w:rsidRPr="00C41C65" w:rsidRDefault="006A4BBA" w:rsidP="006A4BBA"/>
    <w:p w:rsidR="00D35C80" w:rsidRDefault="00D35C80" w:rsidP="006A4BBA"/>
    <w:p w:rsidR="006A4BBA" w:rsidRDefault="006A4BBA" w:rsidP="006A4BBA">
      <w:r w:rsidRPr="00C41C65">
        <w:t>Bergen, date</w:t>
      </w:r>
      <w:r w:rsidR="006037E3">
        <w:t xml:space="preserve"> </w:t>
      </w:r>
      <w:r w:rsidRPr="00C41C65">
        <w:t>…………………..</w:t>
      </w:r>
    </w:p>
    <w:p w:rsidR="00D35C80" w:rsidRPr="00C41C65" w:rsidRDefault="00D35C80" w:rsidP="006A4BBA"/>
    <w:tbl>
      <w:tblPr>
        <w:tblW w:w="9360" w:type="dxa"/>
        <w:tblInd w:w="108" w:type="dxa"/>
        <w:tblLayout w:type="fixed"/>
        <w:tblLook w:val="01E0" w:firstRow="1" w:lastRow="1" w:firstColumn="1" w:lastColumn="1" w:noHBand="0" w:noVBand="0"/>
      </w:tblPr>
      <w:tblGrid>
        <w:gridCol w:w="3060"/>
        <w:gridCol w:w="3240"/>
        <w:gridCol w:w="3060"/>
      </w:tblGrid>
      <w:tr w:rsidR="00D35C80" w:rsidRPr="00754FF6" w:rsidTr="0017146A">
        <w:tc>
          <w:tcPr>
            <w:tcW w:w="3060" w:type="dxa"/>
            <w:shd w:val="clear" w:color="auto" w:fill="auto"/>
          </w:tcPr>
          <w:p w:rsidR="00D35C80" w:rsidRPr="0017146A" w:rsidRDefault="00D35C80" w:rsidP="00652DEB">
            <w:pPr>
              <w:rPr>
                <w:sz w:val="20"/>
              </w:rPr>
            </w:pPr>
            <w:r w:rsidRPr="0017146A">
              <w:rPr>
                <w:sz w:val="20"/>
              </w:rPr>
              <w:t>Signatures:</w:t>
            </w:r>
          </w:p>
          <w:p w:rsidR="00D35C80" w:rsidRDefault="00D35C80" w:rsidP="0017146A">
            <w:pPr>
              <w:jc w:val="center"/>
            </w:pPr>
          </w:p>
          <w:p w:rsidR="00D35C80" w:rsidRPr="00754FF6" w:rsidRDefault="00D35C80" w:rsidP="0017146A">
            <w:pPr>
              <w:jc w:val="center"/>
            </w:pPr>
            <w:r w:rsidRPr="00754FF6">
              <w:t>..........................</w:t>
            </w:r>
            <w:r>
              <w:t>....</w:t>
            </w:r>
            <w:r w:rsidRPr="00754FF6">
              <w:t>................</w:t>
            </w:r>
          </w:p>
        </w:tc>
        <w:tc>
          <w:tcPr>
            <w:tcW w:w="3240" w:type="dxa"/>
            <w:shd w:val="clear" w:color="auto" w:fill="auto"/>
          </w:tcPr>
          <w:p w:rsidR="00D35C80" w:rsidRPr="0017146A" w:rsidRDefault="00D35C80" w:rsidP="0017146A">
            <w:pPr>
              <w:jc w:val="center"/>
              <w:rPr>
                <w:sz w:val="20"/>
              </w:rPr>
            </w:pPr>
          </w:p>
          <w:p w:rsidR="00D35C80" w:rsidRDefault="00D35C80" w:rsidP="0017146A">
            <w:pPr>
              <w:jc w:val="center"/>
            </w:pPr>
          </w:p>
          <w:p w:rsidR="00D35C80" w:rsidRPr="00754FF6" w:rsidRDefault="00D35C80" w:rsidP="0017146A">
            <w:pPr>
              <w:jc w:val="center"/>
            </w:pPr>
            <w:r w:rsidRPr="00754FF6">
              <w:t>.........................</w:t>
            </w:r>
            <w:r>
              <w:t>.</w:t>
            </w:r>
            <w:r w:rsidRPr="00754FF6">
              <w:t>........................</w:t>
            </w:r>
          </w:p>
        </w:tc>
        <w:tc>
          <w:tcPr>
            <w:tcW w:w="3060" w:type="dxa"/>
            <w:shd w:val="clear" w:color="auto" w:fill="auto"/>
          </w:tcPr>
          <w:p w:rsidR="00D35C80" w:rsidRPr="0017146A" w:rsidRDefault="00D35C80" w:rsidP="0017146A">
            <w:pPr>
              <w:jc w:val="center"/>
              <w:rPr>
                <w:sz w:val="20"/>
              </w:rPr>
            </w:pPr>
          </w:p>
          <w:p w:rsidR="00D35C80" w:rsidRDefault="00D35C80" w:rsidP="0017146A">
            <w:pPr>
              <w:jc w:val="center"/>
            </w:pPr>
          </w:p>
          <w:p w:rsidR="00D35C80" w:rsidRDefault="00D35C80" w:rsidP="0017146A">
            <w:pPr>
              <w:jc w:val="center"/>
            </w:pPr>
            <w:r>
              <w:t>……………………………</w:t>
            </w:r>
          </w:p>
        </w:tc>
      </w:tr>
      <w:tr w:rsidR="00D35C80" w:rsidRPr="00754FF6" w:rsidTr="0017146A">
        <w:tc>
          <w:tcPr>
            <w:tcW w:w="3060" w:type="dxa"/>
            <w:shd w:val="clear" w:color="auto" w:fill="auto"/>
          </w:tcPr>
          <w:p w:rsidR="00D35C80" w:rsidRPr="0017146A" w:rsidRDefault="000E24D2" w:rsidP="0017146A">
            <w:pPr>
              <w:pStyle w:val="Topptekst"/>
              <w:tabs>
                <w:tab w:val="clear" w:pos="4536"/>
                <w:tab w:val="clear" w:pos="9072"/>
              </w:tabs>
              <w:jc w:val="center"/>
              <w:rPr>
                <w:sz w:val="20"/>
              </w:rPr>
            </w:pPr>
            <w:r>
              <w:rPr>
                <w:sz w:val="20"/>
              </w:rPr>
              <w:t>S</w:t>
            </w:r>
            <w:r w:rsidR="00D35C80" w:rsidRPr="0017146A">
              <w:rPr>
                <w:sz w:val="20"/>
              </w:rPr>
              <w:t>tudent</w:t>
            </w:r>
          </w:p>
        </w:tc>
        <w:tc>
          <w:tcPr>
            <w:tcW w:w="3240" w:type="dxa"/>
            <w:shd w:val="clear" w:color="auto" w:fill="auto"/>
          </w:tcPr>
          <w:p w:rsidR="00D35C80" w:rsidRPr="00754FF6" w:rsidRDefault="00D35C80" w:rsidP="0017146A">
            <w:pPr>
              <w:pStyle w:val="Topptekst"/>
              <w:tabs>
                <w:tab w:val="clear" w:pos="4536"/>
                <w:tab w:val="clear" w:pos="9072"/>
              </w:tabs>
              <w:jc w:val="center"/>
            </w:pPr>
            <w:r w:rsidRPr="0017146A">
              <w:rPr>
                <w:sz w:val="20"/>
              </w:rPr>
              <w:t xml:space="preserve">Supervisor </w:t>
            </w:r>
          </w:p>
        </w:tc>
        <w:tc>
          <w:tcPr>
            <w:tcW w:w="3060" w:type="dxa"/>
            <w:shd w:val="clear" w:color="auto" w:fill="auto"/>
          </w:tcPr>
          <w:p w:rsidR="00D35C80" w:rsidRPr="0017146A" w:rsidRDefault="00D35C80" w:rsidP="002F149F">
            <w:pPr>
              <w:pStyle w:val="Topptekst"/>
              <w:tabs>
                <w:tab w:val="clear" w:pos="4536"/>
                <w:tab w:val="clear" w:pos="9072"/>
              </w:tabs>
              <w:jc w:val="center"/>
              <w:rPr>
                <w:sz w:val="20"/>
              </w:rPr>
            </w:pPr>
            <w:r w:rsidRPr="0017146A">
              <w:rPr>
                <w:sz w:val="20"/>
              </w:rPr>
              <w:t xml:space="preserve">Head of </w:t>
            </w:r>
            <w:r w:rsidR="00CC1218" w:rsidRPr="0017146A">
              <w:rPr>
                <w:sz w:val="20"/>
              </w:rPr>
              <w:t xml:space="preserve">programme </w:t>
            </w:r>
            <w:r w:rsidR="002F149F">
              <w:rPr>
                <w:sz w:val="20"/>
              </w:rPr>
              <w:t>Board</w:t>
            </w:r>
          </w:p>
        </w:tc>
      </w:tr>
      <w:tr w:rsidR="00D35C80" w:rsidRPr="00754FF6" w:rsidTr="0017146A">
        <w:tc>
          <w:tcPr>
            <w:tcW w:w="3060" w:type="dxa"/>
            <w:shd w:val="clear" w:color="auto" w:fill="auto"/>
          </w:tcPr>
          <w:p w:rsidR="00D35C80" w:rsidRPr="00754FF6" w:rsidRDefault="00D35C80" w:rsidP="0017146A">
            <w:pPr>
              <w:pStyle w:val="Topptekst"/>
              <w:tabs>
                <w:tab w:val="clear" w:pos="4536"/>
                <w:tab w:val="clear" w:pos="9072"/>
              </w:tabs>
            </w:pPr>
          </w:p>
        </w:tc>
        <w:tc>
          <w:tcPr>
            <w:tcW w:w="3240" w:type="dxa"/>
            <w:shd w:val="clear" w:color="auto" w:fill="auto"/>
          </w:tcPr>
          <w:p w:rsidR="00D35C80" w:rsidRPr="00754FF6" w:rsidRDefault="00D35C80" w:rsidP="0017146A">
            <w:pPr>
              <w:pStyle w:val="Topptekst"/>
              <w:tabs>
                <w:tab w:val="clear" w:pos="4536"/>
                <w:tab w:val="clear" w:pos="9072"/>
              </w:tabs>
              <w:jc w:val="center"/>
            </w:pPr>
          </w:p>
        </w:tc>
        <w:tc>
          <w:tcPr>
            <w:tcW w:w="3060" w:type="dxa"/>
            <w:shd w:val="clear" w:color="auto" w:fill="auto"/>
          </w:tcPr>
          <w:p w:rsidR="00D35C80" w:rsidRPr="00754FF6" w:rsidRDefault="00D35C80" w:rsidP="0017146A">
            <w:pPr>
              <w:pStyle w:val="Topptekst"/>
              <w:tabs>
                <w:tab w:val="clear" w:pos="4536"/>
                <w:tab w:val="clear" w:pos="9072"/>
              </w:tabs>
              <w:jc w:val="center"/>
            </w:pPr>
          </w:p>
        </w:tc>
      </w:tr>
      <w:tr w:rsidR="00D35C80" w:rsidRPr="00754FF6" w:rsidTr="0017146A">
        <w:tc>
          <w:tcPr>
            <w:tcW w:w="3060" w:type="dxa"/>
            <w:shd w:val="clear" w:color="auto" w:fill="auto"/>
          </w:tcPr>
          <w:p w:rsidR="00D35C80" w:rsidRPr="0017146A" w:rsidRDefault="00D35C80" w:rsidP="0017146A">
            <w:pPr>
              <w:pStyle w:val="Topptekst"/>
              <w:tabs>
                <w:tab w:val="clear" w:pos="4536"/>
                <w:tab w:val="clear" w:pos="9072"/>
              </w:tabs>
              <w:rPr>
                <w:sz w:val="20"/>
              </w:rPr>
            </w:pPr>
            <w:r w:rsidRPr="0017146A">
              <w:rPr>
                <w:sz w:val="20"/>
              </w:rPr>
              <w:t>Name in block letters:</w:t>
            </w:r>
          </w:p>
          <w:p w:rsidR="00D35C80" w:rsidRDefault="00D35C80" w:rsidP="0017146A">
            <w:pPr>
              <w:pStyle w:val="Topptekst"/>
              <w:tabs>
                <w:tab w:val="clear" w:pos="4536"/>
                <w:tab w:val="clear" w:pos="9072"/>
              </w:tabs>
            </w:pPr>
          </w:p>
          <w:p w:rsidR="00D35C80" w:rsidRPr="00D35C80" w:rsidRDefault="00D35C80" w:rsidP="0017146A">
            <w:pPr>
              <w:pStyle w:val="Topptekst"/>
              <w:tabs>
                <w:tab w:val="clear" w:pos="4536"/>
                <w:tab w:val="clear" w:pos="9072"/>
              </w:tabs>
              <w:jc w:val="center"/>
            </w:pPr>
            <w:r w:rsidRPr="00754FF6">
              <w:t>....................</w:t>
            </w:r>
            <w:r>
              <w:t>....</w:t>
            </w:r>
            <w:r w:rsidRPr="00754FF6">
              <w:t>......................</w:t>
            </w:r>
          </w:p>
        </w:tc>
        <w:tc>
          <w:tcPr>
            <w:tcW w:w="3240" w:type="dxa"/>
            <w:shd w:val="clear" w:color="auto" w:fill="auto"/>
          </w:tcPr>
          <w:p w:rsidR="00D35C80" w:rsidRPr="0017146A" w:rsidRDefault="00D35C80" w:rsidP="0017146A">
            <w:pPr>
              <w:pStyle w:val="Topptekst"/>
              <w:tabs>
                <w:tab w:val="clear" w:pos="4536"/>
                <w:tab w:val="clear" w:pos="9072"/>
              </w:tabs>
              <w:jc w:val="center"/>
              <w:rPr>
                <w:sz w:val="20"/>
              </w:rPr>
            </w:pPr>
          </w:p>
          <w:p w:rsidR="00D35C80" w:rsidRDefault="00D35C80" w:rsidP="0017146A">
            <w:pPr>
              <w:pStyle w:val="Topptekst"/>
              <w:tabs>
                <w:tab w:val="clear" w:pos="4536"/>
                <w:tab w:val="clear" w:pos="9072"/>
              </w:tabs>
              <w:jc w:val="center"/>
            </w:pPr>
          </w:p>
          <w:p w:rsidR="00D35C80" w:rsidRPr="00754FF6" w:rsidRDefault="00C7467E" w:rsidP="0017146A">
            <w:pPr>
              <w:pStyle w:val="Topptekst"/>
              <w:tabs>
                <w:tab w:val="clear" w:pos="4536"/>
                <w:tab w:val="clear" w:pos="9072"/>
              </w:tabs>
              <w:jc w:val="center"/>
            </w:pPr>
            <w:r>
              <w:t>……………………………….</w:t>
            </w:r>
          </w:p>
        </w:tc>
        <w:tc>
          <w:tcPr>
            <w:tcW w:w="3060" w:type="dxa"/>
            <w:shd w:val="clear" w:color="auto" w:fill="auto"/>
          </w:tcPr>
          <w:p w:rsidR="00D35C80" w:rsidRDefault="00D35C80" w:rsidP="0017146A">
            <w:pPr>
              <w:pStyle w:val="Topptekst"/>
              <w:tabs>
                <w:tab w:val="clear" w:pos="4536"/>
                <w:tab w:val="clear" w:pos="9072"/>
              </w:tabs>
            </w:pPr>
          </w:p>
        </w:tc>
      </w:tr>
      <w:tr w:rsidR="00D35C80" w:rsidRPr="00754FF6" w:rsidTr="00171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tcBorders>
              <w:top w:val="nil"/>
              <w:left w:val="nil"/>
              <w:bottom w:val="nil"/>
              <w:right w:val="nil"/>
            </w:tcBorders>
            <w:shd w:val="clear" w:color="auto" w:fill="auto"/>
          </w:tcPr>
          <w:p w:rsidR="00D35C80" w:rsidRPr="0017146A" w:rsidRDefault="000E24D2" w:rsidP="0017146A">
            <w:pPr>
              <w:pStyle w:val="Topptekst"/>
              <w:tabs>
                <w:tab w:val="clear" w:pos="4536"/>
                <w:tab w:val="clear" w:pos="9072"/>
              </w:tabs>
              <w:jc w:val="center"/>
              <w:rPr>
                <w:sz w:val="20"/>
              </w:rPr>
            </w:pPr>
            <w:r>
              <w:rPr>
                <w:sz w:val="20"/>
              </w:rPr>
              <w:t>S</w:t>
            </w:r>
            <w:r w:rsidR="00D35C80" w:rsidRPr="0017146A">
              <w:rPr>
                <w:sz w:val="20"/>
              </w:rPr>
              <w:t>tudent</w:t>
            </w:r>
          </w:p>
        </w:tc>
        <w:tc>
          <w:tcPr>
            <w:tcW w:w="3240" w:type="dxa"/>
            <w:tcBorders>
              <w:top w:val="nil"/>
              <w:left w:val="nil"/>
              <w:bottom w:val="nil"/>
              <w:right w:val="nil"/>
            </w:tcBorders>
            <w:shd w:val="clear" w:color="auto" w:fill="auto"/>
          </w:tcPr>
          <w:p w:rsidR="00D35C80" w:rsidRPr="00754FF6" w:rsidRDefault="00D35C80" w:rsidP="0017146A">
            <w:pPr>
              <w:pStyle w:val="Topptekst"/>
              <w:tabs>
                <w:tab w:val="clear" w:pos="4536"/>
                <w:tab w:val="clear" w:pos="9072"/>
              </w:tabs>
              <w:jc w:val="center"/>
            </w:pPr>
            <w:r w:rsidRPr="0017146A">
              <w:rPr>
                <w:sz w:val="20"/>
              </w:rPr>
              <w:t xml:space="preserve">Supervisor </w:t>
            </w:r>
          </w:p>
        </w:tc>
        <w:tc>
          <w:tcPr>
            <w:tcW w:w="3060" w:type="dxa"/>
            <w:tcBorders>
              <w:top w:val="nil"/>
              <w:left w:val="nil"/>
              <w:bottom w:val="nil"/>
              <w:right w:val="nil"/>
            </w:tcBorders>
            <w:shd w:val="clear" w:color="auto" w:fill="auto"/>
          </w:tcPr>
          <w:p w:rsidR="00D35C80" w:rsidRPr="0017146A" w:rsidRDefault="00D35C80" w:rsidP="0017146A">
            <w:pPr>
              <w:pStyle w:val="Topptekst"/>
              <w:tabs>
                <w:tab w:val="clear" w:pos="4536"/>
                <w:tab w:val="clear" w:pos="9072"/>
              </w:tabs>
              <w:jc w:val="center"/>
              <w:rPr>
                <w:sz w:val="20"/>
              </w:rPr>
            </w:pPr>
          </w:p>
        </w:tc>
      </w:tr>
    </w:tbl>
    <w:p w:rsidR="00DB5422" w:rsidRPr="003E720C" w:rsidRDefault="00DB5422" w:rsidP="00D35C80"/>
    <w:sectPr w:rsidR="00DB5422" w:rsidRPr="003E72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0A" w:rsidRDefault="00CD3E0A">
      <w:r>
        <w:separator/>
      </w:r>
    </w:p>
  </w:endnote>
  <w:endnote w:type="continuationSeparator" w:id="0">
    <w:p w:rsidR="00CD3E0A" w:rsidRDefault="00CD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8F" w:rsidRPr="000E024F" w:rsidRDefault="00F4288F" w:rsidP="00F4288F">
    <w:pPr>
      <w:pStyle w:val="Bunntekst"/>
      <w:pBdr>
        <w:top w:val="single" w:sz="4" w:space="1" w:color="auto"/>
      </w:pBdr>
      <w:rPr>
        <w:i/>
        <w:sz w:val="18"/>
        <w:szCs w:val="18"/>
      </w:rPr>
    </w:pPr>
    <w:r w:rsidRPr="000E024F">
      <w:rPr>
        <w:i/>
        <w:sz w:val="18"/>
        <w:szCs w:val="18"/>
      </w:rPr>
      <w:t xml:space="preserve">The Faculty of Mathematics and Natural Sciences, </w:t>
    </w:r>
    <w:smartTag w:uri="urn:schemas-microsoft-com:office:smarttags" w:element="place">
      <w:smartTag w:uri="urn:schemas-microsoft-com:office:smarttags" w:element="PlaceType">
        <w:r w:rsidRPr="000E024F">
          <w:rPr>
            <w:i/>
            <w:sz w:val="18"/>
            <w:szCs w:val="18"/>
          </w:rPr>
          <w:t>University</w:t>
        </w:r>
      </w:smartTag>
      <w:r w:rsidRPr="000E024F">
        <w:rPr>
          <w:i/>
          <w:sz w:val="18"/>
          <w:szCs w:val="18"/>
        </w:rPr>
        <w:t xml:space="preserve"> of </w:t>
      </w:r>
      <w:smartTag w:uri="urn:schemas-microsoft-com:office:smarttags" w:element="PlaceName">
        <w:r w:rsidRPr="000E024F">
          <w:rPr>
            <w:i/>
            <w:sz w:val="18"/>
            <w:szCs w:val="18"/>
          </w:rPr>
          <w:t>Bergen</w:t>
        </w:r>
        <w:r>
          <w:rPr>
            <w:i/>
            <w:sz w:val="18"/>
            <w:szCs w:val="18"/>
          </w:rPr>
          <w:t xml:space="preserve">                                                        Master</w:t>
        </w:r>
      </w:smartTag>
    </w:smartTag>
    <w:r>
      <w:rPr>
        <w:i/>
        <w:sz w:val="18"/>
        <w:szCs w:val="18"/>
      </w:rPr>
      <w:t xml:space="preserve"> agreement</w:t>
    </w:r>
  </w:p>
  <w:p w:rsidR="007F7B1E" w:rsidRPr="00F4288F" w:rsidRDefault="007F7B1E" w:rsidP="00F4288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0A" w:rsidRDefault="00CD3E0A">
      <w:r>
        <w:separator/>
      </w:r>
    </w:p>
  </w:footnote>
  <w:footnote w:type="continuationSeparator" w:id="0">
    <w:p w:rsidR="00CD3E0A" w:rsidRDefault="00CD3E0A">
      <w:r>
        <w:continuationSeparator/>
      </w:r>
    </w:p>
  </w:footnote>
  <w:footnote w:id="1">
    <w:p w:rsidR="008A379B" w:rsidRDefault="008A379B" w:rsidP="006A4BBA">
      <w:pPr>
        <w:pStyle w:val="Fotnotetekst"/>
      </w:pPr>
      <w:r>
        <w:rPr>
          <w:rStyle w:val="Fotnotereferanse"/>
        </w:rPr>
        <w:footnoteRef/>
      </w:r>
      <w:r>
        <w:t xml:space="preserve"> For 60-sp assignments: No later than the end of the second month of the second semester  </w:t>
      </w:r>
    </w:p>
  </w:footnote>
  <w:footnote w:id="2">
    <w:p w:rsidR="008A379B" w:rsidRDefault="008A379B" w:rsidP="006A4BBA">
      <w:pPr>
        <w:pStyle w:val="Fotnotetekst"/>
      </w:pPr>
      <w:r>
        <w:rPr>
          <w:rStyle w:val="Fotnotereferanse"/>
        </w:rPr>
        <w:footnoteRef/>
      </w:r>
      <w:r>
        <w:t xml:space="preserve"> For 30-sp assignments: No later than four weeks after the time limit for choosing a master’s thesis</w:t>
      </w:r>
    </w:p>
  </w:footnote>
  <w:footnote w:id="3">
    <w:p w:rsidR="00C95758" w:rsidRPr="00392D96" w:rsidRDefault="00C95758">
      <w:pPr>
        <w:pStyle w:val="Fotnotetekst"/>
        <w:rPr>
          <w:lang w:val="en-US"/>
        </w:rPr>
      </w:pPr>
      <w:r>
        <w:rPr>
          <w:rStyle w:val="Fotnotereferanse"/>
        </w:rPr>
        <w:footnoteRef/>
      </w:r>
      <w:r>
        <w:t xml:space="preserve"> </w:t>
      </w:r>
      <w:r w:rsidRPr="00392D96">
        <w:rPr>
          <w:lang w:val="en-US"/>
        </w:rPr>
        <w:t xml:space="preserve">Ethical guidelines for relations between supervisors and students or candidates at the University of Bergen </w:t>
      </w:r>
      <w:hyperlink r:id="rId1" w:history="1">
        <w:r w:rsidRPr="00F65E65">
          <w:rPr>
            <w:rStyle w:val="Hyperkobling"/>
            <w:lang w:val="en-US"/>
          </w:rPr>
          <w:t>http://www.uib.no/matnat/utdanning/reglement-og-prosedyrer/reglement-i-utdanningssaker-ved-det-matematisk-naturvitenskapelige-fakultet/etiske-retningslinjer-for-veiledningsrelasjoner</w:t>
        </w:r>
      </w:hyperlink>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D0"/>
    <w:rsid w:val="00005F36"/>
    <w:rsid w:val="00032FE6"/>
    <w:rsid w:val="000E24D2"/>
    <w:rsid w:val="00122470"/>
    <w:rsid w:val="00165E58"/>
    <w:rsid w:val="0017146A"/>
    <w:rsid w:val="00287CEE"/>
    <w:rsid w:val="002F149F"/>
    <w:rsid w:val="00312C23"/>
    <w:rsid w:val="00337D96"/>
    <w:rsid w:val="00365E73"/>
    <w:rsid w:val="00392D96"/>
    <w:rsid w:val="00397BBF"/>
    <w:rsid w:val="003E720C"/>
    <w:rsid w:val="004144C7"/>
    <w:rsid w:val="004662BB"/>
    <w:rsid w:val="004718C2"/>
    <w:rsid w:val="004A4AA1"/>
    <w:rsid w:val="0052413D"/>
    <w:rsid w:val="00527FDD"/>
    <w:rsid w:val="0053563E"/>
    <w:rsid w:val="00565A06"/>
    <w:rsid w:val="005C58D0"/>
    <w:rsid w:val="006037E3"/>
    <w:rsid w:val="00626B36"/>
    <w:rsid w:val="00652DEB"/>
    <w:rsid w:val="00670B21"/>
    <w:rsid w:val="006A4BBA"/>
    <w:rsid w:val="006B563E"/>
    <w:rsid w:val="007001D8"/>
    <w:rsid w:val="00742AAD"/>
    <w:rsid w:val="00777D54"/>
    <w:rsid w:val="00796E66"/>
    <w:rsid w:val="007F7B1E"/>
    <w:rsid w:val="00877966"/>
    <w:rsid w:val="008A2E73"/>
    <w:rsid w:val="008A379B"/>
    <w:rsid w:val="008B2577"/>
    <w:rsid w:val="00A16F94"/>
    <w:rsid w:val="00A540E2"/>
    <w:rsid w:val="00A800BF"/>
    <w:rsid w:val="00AE659A"/>
    <w:rsid w:val="00B54C41"/>
    <w:rsid w:val="00B741E1"/>
    <w:rsid w:val="00BB046E"/>
    <w:rsid w:val="00C7467E"/>
    <w:rsid w:val="00C95758"/>
    <w:rsid w:val="00CB495E"/>
    <w:rsid w:val="00CC1218"/>
    <w:rsid w:val="00CC7650"/>
    <w:rsid w:val="00CD3E0A"/>
    <w:rsid w:val="00CD4F9F"/>
    <w:rsid w:val="00D036ED"/>
    <w:rsid w:val="00D17BD7"/>
    <w:rsid w:val="00D320E8"/>
    <w:rsid w:val="00D35C80"/>
    <w:rsid w:val="00D63055"/>
    <w:rsid w:val="00DB05AD"/>
    <w:rsid w:val="00DB5422"/>
    <w:rsid w:val="00DB6AEF"/>
    <w:rsid w:val="00DC7A3F"/>
    <w:rsid w:val="00DD2CB5"/>
    <w:rsid w:val="00DE60E9"/>
    <w:rsid w:val="00DF6343"/>
    <w:rsid w:val="00E91BF4"/>
    <w:rsid w:val="00EB2415"/>
    <w:rsid w:val="00ED2789"/>
    <w:rsid w:val="00EF070B"/>
    <w:rsid w:val="00F02BB8"/>
    <w:rsid w:val="00F03F36"/>
    <w:rsid w:val="00F149B4"/>
    <w:rsid w:val="00F3303D"/>
    <w:rsid w:val="00F4288F"/>
    <w:rsid w:val="00F42D9F"/>
    <w:rsid w:val="00F57A6F"/>
    <w:rsid w:val="00FA31FE"/>
    <w:rsid w:val="00FF4E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BBA"/>
    <w:rPr>
      <w:sz w:val="24"/>
      <w:lang w:val="en-GB"/>
    </w:rPr>
  </w:style>
  <w:style w:type="paragraph" w:styleId="Overskrift1">
    <w:name w:val="heading 1"/>
    <w:basedOn w:val="Normal"/>
    <w:next w:val="Normal"/>
    <w:qFormat/>
    <w:rsid w:val="00A800BF"/>
    <w:pPr>
      <w:keepNext/>
      <w:spacing w:before="240" w:after="60"/>
      <w:outlineLvl w:val="0"/>
    </w:pPr>
    <w:rPr>
      <w:rFonts w:ascii="Arial" w:hAnsi="Arial" w:cs="Arial"/>
      <w:b/>
      <w:bCs/>
      <w:kern w:val="32"/>
      <w:sz w:val="32"/>
      <w:szCs w:val="32"/>
      <w:lang w:val="en-US" w:eastAsia="en-US"/>
    </w:rPr>
  </w:style>
  <w:style w:type="paragraph" w:styleId="Overskrift4">
    <w:name w:val="heading 4"/>
    <w:basedOn w:val="Normal"/>
    <w:next w:val="Normal"/>
    <w:qFormat/>
    <w:rsid w:val="00005F36"/>
    <w:pPr>
      <w:keepNext/>
      <w:spacing w:before="240" w:after="60"/>
      <w:outlineLvl w:val="3"/>
    </w:pPr>
    <w:rPr>
      <w:b/>
      <w:bCs/>
      <w:sz w:val="28"/>
      <w:szCs w:val="28"/>
    </w:rPr>
  </w:style>
  <w:style w:type="paragraph" w:styleId="Overskrift7">
    <w:name w:val="heading 7"/>
    <w:basedOn w:val="Normal"/>
    <w:next w:val="Normal"/>
    <w:qFormat/>
    <w:rsid w:val="006A4BBA"/>
    <w:pPr>
      <w:keepNext/>
      <w:ind w:right="-140"/>
      <w:outlineLvl w:val="6"/>
    </w:pPr>
    <w:rPr>
      <w:b/>
      <w:sz w:val="28"/>
    </w:rPr>
  </w:style>
  <w:style w:type="paragraph" w:styleId="Overskrift8">
    <w:name w:val="heading 8"/>
    <w:basedOn w:val="Normal"/>
    <w:next w:val="Normal"/>
    <w:qFormat/>
    <w:rsid w:val="006A4BBA"/>
    <w:pPr>
      <w:keepNext/>
      <w:ind w:firstLine="142"/>
      <w:jc w:val="both"/>
      <w:outlineLvl w:val="7"/>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sid w:val="006A4BBA"/>
    <w:pPr>
      <w:jc w:val="both"/>
    </w:pPr>
  </w:style>
  <w:style w:type="paragraph" w:styleId="Fotnotetekst">
    <w:name w:val="footnote text"/>
    <w:basedOn w:val="Normal"/>
    <w:semiHidden/>
    <w:rsid w:val="006A4BBA"/>
    <w:rPr>
      <w:sz w:val="20"/>
    </w:rPr>
  </w:style>
  <w:style w:type="character" w:styleId="Fotnotereferanse">
    <w:name w:val="footnote reference"/>
    <w:semiHidden/>
    <w:rsid w:val="006A4BBA"/>
    <w:rPr>
      <w:vertAlign w:val="superscript"/>
    </w:rPr>
  </w:style>
  <w:style w:type="paragraph" w:styleId="Topptekst">
    <w:name w:val="header"/>
    <w:basedOn w:val="Normal"/>
    <w:rsid w:val="006A4BBA"/>
    <w:pPr>
      <w:tabs>
        <w:tab w:val="center" w:pos="4536"/>
        <w:tab w:val="right" w:pos="9072"/>
      </w:tabs>
    </w:pPr>
  </w:style>
  <w:style w:type="table" w:styleId="Tabellrutenett">
    <w:name w:val="Table Grid"/>
    <w:basedOn w:val="Vanligtabell"/>
    <w:rsid w:val="008A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7F7B1E"/>
    <w:pPr>
      <w:tabs>
        <w:tab w:val="center" w:pos="4536"/>
        <w:tab w:val="right" w:pos="9072"/>
      </w:tabs>
    </w:pPr>
  </w:style>
  <w:style w:type="paragraph" w:styleId="Bobletekst">
    <w:name w:val="Balloon Text"/>
    <w:basedOn w:val="Normal"/>
    <w:link w:val="BobletekstTegn"/>
    <w:rsid w:val="00C95758"/>
    <w:rPr>
      <w:rFonts w:ascii="Tahoma" w:hAnsi="Tahoma" w:cs="Tahoma"/>
      <w:sz w:val="16"/>
      <w:szCs w:val="16"/>
    </w:rPr>
  </w:style>
  <w:style w:type="character" w:customStyle="1" w:styleId="BobletekstTegn">
    <w:name w:val="Bobletekst Tegn"/>
    <w:link w:val="Bobletekst"/>
    <w:rsid w:val="00C95758"/>
    <w:rPr>
      <w:rFonts w:ascii="Tahoma" w:hAnsi="Tahoma" w:cs="Tahoma"/>
      <w:sz w:val="16"/>
      <w:szCs w:val="16"/>
      <w:lang w:val="en-GB"/>
    </w:rPr>
  </w:style>
  <w:style w:type="character" w:styleId="Hyperkobling">
    <w:name w:val="Hyperlink"/>
    <w:rsid w:val="00C957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BBA"/>
    <w:rPr>
      <w:sz w:val="24"/>
      <w:lang w:val="en-GB"/>
    </w:rPr>
  </w:style>
  <w:style w:type="paragraph" w:styleId="Overskrift1">
    <w:name w:val="heading 1"/>
    <w:basedOn w:val="Normal"/>
    <w:next w:val="Normal"/>
    <w:qFormat/>
    <w:rsid w:val="00A800BF"/>
    <w:pPr>
      <w:keepNext/>
      <w:spacing w:before="240" w:after="60"/>
      <w:outlineLvl w:val="0"/>
    </w:pPr>
    <w:rPr>
      <w:rFonts w:ascii="Arial" w:hAnsi="Arial" w:cs="Arial"/>
      <w:b/>
      <w:bCs/>
      <w:kern w:val="32"/>
      <w:sz w:val="32"/>
      <w:szCs w:val="32"/>
      <w:lang w:val="en-US" w:eastAsia="en-US"/>
    </w:rPr>
  </w:style>
  <w:style w:type="paragraph" w:styleId="Overskrift4">
    <w:name w:val="heading 4"/>
    <w:basedOn w:val="Normal"/>
    <w:next w:val="Normal"/>
    <w:qFormat/>
    <w:rsid w:val="00005F36"/>
    <w:pPr>
      <w:keepNext/>
      <w:spacing w:before="240" w:after="60"/>
      <w:outlineLvl w:val="3"/>
    </w:pPr>
    <w:rPr>
      <w:b/>
      <w:bCs/>
      <w:sz w:val="28"/>
      <w:szCs w:val="28"/>
    </w:rPr>
  </w:style>
  <w:style w:type="paragraph" w:styleId="Overskrift7">
    <w:name w:val="heading 7"/>
    <w:basedOn w:val="Normal"/>
    <w:next w:val="Normal"/>
    <w:qFormat/>
    <w:rsid w:val="006A4BBA"/>
    <w:pPr>
      <w:keepNext/>
      <w:ind w:right="-140"/>
      <w:outlineLvl w:val="6"/>
    </w:pPr>
    <w:rPr>
      <w:b/>
      <w:sz w:val="28"/>
    </w:rPr>
  </w:style>
  <w:style w:type="paragraph" w:styleId="Overskrift8">
    <w:name w:val="heading 8"/>
    <w:basedOn w:val="Normal"/>
    <w:next w:val="Normal"/>
    <w:qFormat/>
    <w:rsid w:val="006A4BBA"/>
    <w:pPr>
      <w:keepNext/>
      <w:ind w:firstLine="142"/>
      <w:jc w:val="both"/>
      <w:outlineLvl w:val="7"/>
    </w:pPr>
    <w:rPr>
      <w:b/>
      <w:sz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sid w:val="006A4BBA"/>
    <w:pPr>
      <w:jc w:val="both"/>
    </w:pPr>
  </w:style>
  <w:style w:type="paragraph" w:styleId="Fotnotetekst">
    <w:name w:val="footnote text"/>
    <w:basedOn w:val="Normal"/>
    <w:semiHidden/>
    <w:rsid w:val="006A4BBA"/>
    <w:rPr>
      <w:sz w:val="20"/>
    </w:rPr>
  </w:style>
  <w:style w:type="character" w:styleId="Fotnotereferanse">
    <w:name w:val="footnote reference"/>
    <w:semiHidden/>
    <w:rsid w:val="006A4BBA"/>
    <w:rPr>
      <w:vertAlign w:val="superscript"/>
    </w:rPr>
  </w:style>
  <w:style w:type="paragraph" w:styleId="Topptekst">
    <w:name w:val="header"/>
    <w:basedOn w:val="Normal"/>
    <w:rsid w:val="006A4BBA"/>
    <w:pPr>
      <w:tabs>
        <w:tab w:val="center" w:pos="4536"/>
        <w:tab w:val="right" w:pos="9072"/>
      </w:tabs>
    </w:pPr>
  </w:style>
  <w:style w:type="table" w:styleId="Tabellrutenett">
    <w:name w:val="Table Grid"/>
    <w:basedOn w:val="Vanligtabell"/>
    <w:rsid w:val="008A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rsid w:val="007F7B1E"/>
    <w:pPr>
      <w:tabs>
        <w:tab w:val="center" w:pos="4536"/>
        <w:tab w:val="right" w:pos="9072"/>
      </w:tabs>
    </w:pPr>
  </w:style>
  <w:style w:type="paragraph" w:styleId="Bobletekst">
    <w:name w:val="Balloon Text"/>
    <w:basedOn w:val="Normal"/>
    <w:link w:val="BobletekstTegn"/>
    <w:rsid w:val="00C95758"/>
    <w:rPr>
      <w:rFonts w:ascii="Tahoma" w:hAnsi="Tahoma" w:cs="Tahoma"/>
      <w:sz w:val="16"/>
      <w:szCs w:val="16"/>
    </w:rPr>
  </w:style>
  <w:style w:type="character" w:customStyle="1" w:styleId="BobletekstTegn">
    <w:name w:val="Bobletekst Tegn"/>
    <w:link w:val="Bobletekst"/>
    <w:rsid w:val="00C95758"/>
    <w:rPr>
      <w:rFonts w:ascii="Tahoma" w:hAnsi="Tahoma" w:cs="Tahoma"/>
      <w:sz w:val="16"/>
      <w:szCs w:val="16"/>
      <w:lang w:val="en-GB"/>
    </w:rPr>
  </w:style>
  <w:style w:type="character" w:styleId="Hyperkobling">
    <w:name w:val="Hyperlink"/>
    <w:rsid w:val="00C957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ib.no/matnat/utdanning/reglement-og-prosedyrer/reglement-i-utdanningssaker-ved-det-matematisk-naturvitenskapelige-fakultet/etiske-retningslinjer-for-veiledningsrelasjon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B8AF1-983C-4F11-A2CA-E6CB0805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FBD989A5.dotm</Template>
  <TotalTime>0</TotalTime>
  <Pages>2</Pages>
  <Words>783</Words>
  <Characters>4150</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Part</vt:lpstr>
    </vt:vector>
  </TitlesOfParts>
  <Company>IT-avd, UiB</Company>
  <LinksUpToDate>false</LinksUpToDate>
  <CharactersWithSpaces>4924</CharactersWithSpaces>
  <SharedDoc>false</SharedDoc>
  <HLinks>
    <vt:vector size="6" baseType="variant">
      <vt:variant>
        <vt:i4>7143532</vt:i4>
      </vt:variant>
      <vt:variant>
        <vt:i4>0</vt:i4>
      </vt:variant>
      <vt:variant>
        <vt:i4>0</vt:i4>
      </vt:variant>
      <vt:variant>
        <vt:i4>5</vt:i4>
      </vt:variant>
      <vt:variant>
        <vt:lpwstr>http://www.uib.no/matnat/utdanning/reglement-og-prosedyrer/reglement-i-utdanningssaker-ved-det-matematisk-naturvitenskapelige-fakultet/etiske-retningslinjer-for-veiledningsrelasjoner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dc:title>
  <dc:creator>amnke</dc:creator>
  <cp:lastModifiedBy>Ingrid W. Solhøy</cp:lastModifiedBy>
  <cp:revision>2</cp:revision>
  <dcterms:created xsi:type="dcterms:W3CDTF">2015-06-08T08:40:00Z</dcterms:created>
  <dcterms:modified xsi:type="dcterms:W3CDTF">2015-06-08T08:40:00Z</dcterms:modified>
</cp:coreProperties>
</file>