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2" w:rsidRPr="000F4742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Tekst - Standardtekster ved MN-</w:t>
            </w:r>
            <w:proofErr w:type="spellStart"/>
            <w:r w:rsidRPr="000F4742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>fak</w:t>
            </w:r>
            <w:proofErr w:type="spellEnd"/>
            <w:r w:rsidRPr="000F4742"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  <w:t xml:space="preserve">  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0F474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0F474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MOL204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0F474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0F474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0F474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0F474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0F474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0F474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0F474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Anvendt bioinformatikk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0F474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0F474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0F474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0F474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0F474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0F474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0F474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Anvendt bioinformatikk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Applied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Bioinformatics</w:t>
            </w:r>
            <w:proofErr w:type="spellEnd"/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ien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i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vå (studiesyklus)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Level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295D3A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Bachelor</w:t>
            </w:r>
            <w:proofErr w:type="spellEnd"/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180413" w:rsidRPr="000F4742" w:rsidTr="00180413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0F474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0F474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0F474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0F4742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0F474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0F4742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295D3A">
            <w:pPr>
              <w:widowControl/>
              <w:spacing w:before="100" w:beforeAutospacing="1"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</w:pPr>
            <w:r w:rsidRPr="000F4742"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  <w:t xml:space="preserve"> Engelsk [English]</w:t>
            </w:r>
          </w:p>
          <w:p w:rsidR="00180413" w:rsidRPr="000F4742" w:rsidRDefault="00180413" w:rsidP="00295D3A">
            <w:pPr>
              <w:pStyle w:val="Listeavsnitt"/>
              <w:widowControl/>
              <w:spacing w:before="100" w:beforeAutospacing="1" w:after="0" w:line="240" w:lineRule="auto"/>
              <w:ind w:left="569" w:right="142"/>
              <w:rPr>
                <w:rFonts w:asciiTheme="minorHAnsi" w:eastAsia="Times New Roman" w:hAnsiTheme="minorHAnsi" w:cstheme="minorHAnsi"/>
                <w:sz w:val="20"/>
                <w:szCs w:val="20"/>
                <w:lang w:val="nn-NO" w:eastAsia="nb-NO"/>
              </w:rPr>
            </w:pP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Haust </w:t>
            </w: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(Fargekode: rød)</w:t>
            </w:r>
            <w:r w:rsidRPr="000F474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[Autumn]</w:t>
            </w:r>
          </w:p>
          <w:p w:rsidR="00180413" w:rsidRPr="000F4742" w:rsidRDefault="0018041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er med i undervisningsopptaket</w:t>
            </w:r>
          </w:p>
          <w:p w:rsidR="00180413" w:rsidRPr="000F4742" w:rsidRDefault="0018041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[The course has a limited number of places. </w:t>
            </w:r>
            <w:hyperlink r:id="rId9" w:history="1">
              <w:r w:rsidRPr="000F4742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en"/>
                </w:rPr>
                <w:t>http://www.uib.no/en/matnat/53431/admission-courses-limited-capacity</w:t>
              </w:r>
            </w:hyperlink>
            <w:r w:rsidRPr="000F4742">
              <w:rPr>
                <w:rFonts w:asciiTheme="minorHAnsi" w:hAnsiTheme="minorHAnsi" w:cstheme="minorHAnsi"/>
                <w:sz w:val="20"/>
                <w:szCs w:val="20"/>
                <w:lang w:val="en"/>
              </w:rPr>
              <w:t>]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0F474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0F474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0F474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0F474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Mål og i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h</w:t>
            </w:r>
            <w:r w:rsidRPr="000F4742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0F474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Objectives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180413" w:rsidRPr="000F4742" w:rsidRDefault="00180413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Målet for emnet er å gje studentane kunnskap om og dugleik i bruk av bioinformatiske metodar som er sentrale i gjennomføring av molekylærbiologiske forskingsprosjekt. Emnet har hovudvekt på </w:t>
            </w: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bioinformatikk knytt til utforsking av protein og omfattar analyse av sekvensar, databasesøk, sekvenssamanstilling,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visualisering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analyse av proteinstrukturar og innføring i fylogenetiske analysar. Studentane får ei innføring i det teoretiske grunnlaget for nokre av nøkkelmetodane. Emnet gjev og ei innføring i DNA-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sekvensiering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analyse av gen- og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genomsekvensar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genuttrykking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systembiologi. Gjennom praktiske øvingar har emnet som mål å gje studentane grunnleggjande dugleik i bruk av bioinformatiske verktøy. Det vert lagt vekt på at studentane skal læra og forstå dei bioinformatiske verktøya i lys av sine molekylærbiologiske kunnskapar. </w:t>
            </w:r>
          </w:p>
          <w:p w:rsidR="00180413" w:rsidRPr="000F4742" w:rsidRDefault="00180413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widowControl/>
              <w:autoSpaceDE w:val="0"/>
              <w:autoSpaceDN w:val="0"/>
              <w:adjustRightInd w:val="0"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[</w:t>
            </w:r>
            <w:proofErr w:type="spellStart"/>
            <w:r w:rsidRPr="000F47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Objectives</w:t>
            </w:r>
            <w:proofErr w:type="spellEnd"/>
            <w:r w:rsidRPr="000F47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 xml:space="preserve">: </w:t>
            </w:r>
          </w:p>
          <w:p w:rsidR="00180413" w:rsidRPr="000F4742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The goal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to provide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students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- and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skills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bioinformatics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that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are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central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research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The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focuses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on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bioinformatics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covers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analysis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database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searches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alignments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visualization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analysis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Students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receive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introduction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theory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most relevant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those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The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also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gives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introduction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DNA-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sequencing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analysis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gene and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genome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gene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expression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systems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Through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hands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on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lab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exercises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aims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providing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fundamental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skills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bioinformatics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tools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The students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learn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understand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bioinformatics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tools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context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their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.] 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0F474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0F474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0F4742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742" w:rsidRPr="00C557E5" w:rsidRDefault="000F4742" w:rsidP="000F474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0F4742" w:rsidRPr="00C557E5" w:rsidRDefault="000F4742" w:rsidP="000F474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0F4742" w:rsidRPr="00C557E5" w:rsidRDefault="000F4742" w:rsidP="000F474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Studenten…</w:t>
            </w:r>
          </w:p>
          <w:p w:rsidR="000F4742" w:rsidRPr="00C557E5" w:rsidRDefault="000F4742" w:rsidP="000F4742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forklare kva type av data som er tilgjengeleg frå dei mest vanlege proteinsekvens- og strukturdatabasane (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UniProt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GenBank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Protein Data Bank, CATH).</w:t>
            </w:r>
          </w:p>
          <w:p w:rsidR="000F4742" w:rsidRPr="00C557E5" w:rsidRDefault="000F4742" w:rsidP="000F4742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forklare teorien som ligg bak dei mest vanlege metodane for sekvenssøk og sekvenssamanstilling, og særskilt kjenner prinsippet og hovudtrinna for parvis og multippel </w:t>
            </w: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sekvenssamanstilling.</w:t>
            </w:r>
          </w:p>
          <w:p w:rsidR="000F4742" w:rsidRPr="00C557E5" w:rsidRDefault="000F4742" w:rsidP="000F4742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forklare og er i stand til å anvende hovudtrinna i dynamisk programmering for enkle samanstillingar av korte sekvensar.</w:t>
            </w:r>
          </w:p>
          <w:p w:rsidR="000F4742" w:rsidRPr="00C557E5" w:rsidRDefault="000F4742" w:rsidP="000F4742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liste metodar for å vise struktur-funksjon samanheng i protein og kjenner dei underliggjande </w:t>
            </w: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prinsippa</w:t>
            </w: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0F4742" w:rsidRPr="00C557E5" w:rsidRDefault="000F4742" w:rsidP="000F4742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Kan forklare prinsippa for berekningsmetodar som nyttast til å </w:t>
            </w: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føreseia</w:t>
            </w: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sekundærstrukturelement frå proteinsekvensar, og modellering av tredimensjonale proteinstrukturar (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homologimodellering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threading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andre metodar)</w:t>
            </w:r>
          </w:p>
          <w:p w:rsidR="000F4742" w:rsidRPr="00C557E5" w:rsidRDefault="000F4742" w:rsidP="000F4742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F4742" w:rsidRPr="00C557E5" w:rsidRDefault="000F4742" w:rsidP="000F474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0F4742" w:rsidRPr="00C557E5" w:rsidRDefault="000F4742" w:rsidP="000F474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er i stand til;</w:t>
            </w:r>
          </w:p>
          <w:p w:rsidR="000F4742" w:rsidRPr="00C557E5" w:rsidRDefault="000F4742" w:rsidP="000F4742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 velje ut og nytte dei mest tenlege bioinformatiske sekvens- eller strukturdatabasane for å trekkje ut eller søkje data gitt eit spesifikt spørsmål i molekylærbiologi</w:t>
            </w:r>
          </w:p>
          <w:p w:rsidR="000F4742" w:rsidRPr="00C557E5" w:rsidRDefault="000F4742" w:rsidP="000F4742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velje ut og nytte dei mest tenlege metodane for samanstilling av sekvensar,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visualisering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analyse av proteinstrukturar, sekundærstrukturelement og modellering av proteinstrukturar frå sekvensar</w:t>
            </w:r>
          </w:p>
          <w:p w:rsidR="000F4742" w:rsidRPr="00C557E5" w:rsidRDefault="000F4742" w:rsidP="000F474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0F4742" w:rsidRPr="00C557E5" w:rsidRDefault="000F4742" w:rsidP="000F474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0F4742" w:rsidRPr="00C557E5" w:rsidRDefault="000F4742" w:rsidP="000F4742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:rsidR="000F4742" w:rsidRPr="00C557E5" w:rsidRDefault="000F4742" w:rsidP="000F4742">
            <w:pPr>
              <w:pStyle w:val="Listeavsnitt"/>
              <w:widowControl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reflektere med bruk av kunnskap og ferdigheiter i bioinformatikk om eit gitt problem i molekylærbiologi kan tene på ein bioinformatisk tilnærming, og kva for metodar som i så fall vil vere tenlege</w:t>
            </w:r>
          </w:p>
          <w:p w:rsidR="000F4742" w:rsidRPr="00C557E5" w:rsidRDefault="000F4742" w:rsidP="000F4742">
            <w:pPr>
              <w:pStyle w:val="Listeavsnitt"/>
              <w:widowControl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kan i møte med ein ny nettbasert reiskap, få ei generell forståing av dei underliggjande prinsippa ved å bruke teoretisk kunnskap om dei mest nytta bioinformatiske metodane</w:t>
            </w:r>
          </w:p>
          <w:p w:rsidR="00180413" w:rsidRPr="00C557E5" w:rsidRDefault="00180413" w:rsidP="00295D3A">
            <w:pPr>
              <w:pStyle w:val="Listeavsnitt"/>
              <w:widowControl/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80413" w:rsidRPr="00C557E5" w:rsidRDefault="0018041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[On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completion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should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have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following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learning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outcomes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defined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terms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skills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general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competence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</w:p>
          <w:p w:rsidR="00180413" w:rsidRPr="00C557E5" w:rsidRDefault="0018041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(1) Knowledge</w:t>
            </w: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 The student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which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type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data is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from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most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common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databases (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UniProt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GenBank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Protein Data Bank, CATH).</w:t>
            </w: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 The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candidate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theories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underlying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most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common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searches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alignments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and in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particular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principle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main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steps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pairwise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multiple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alignments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;</w:t>
            </w: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 The student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is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able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apply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main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steps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dynamic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for/to simple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alignments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short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;</w:t>
            </w: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 The student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list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uncover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structure-function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relationship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proteins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their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underlying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principles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;</w:t>
            </w: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 The student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can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explain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principles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computational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prediction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secondary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elements from protein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prediction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modeling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three-dimensional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homology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modeling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threading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ab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initio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).</w:t>
            </w: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(2)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Skills</w:t>
            </w:r>
            <w:proofErr w:type="spellEnd"/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The student is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able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to:</w:t>
            </w: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select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apply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most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appropriate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bioinformatics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database to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retrieve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search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 data given a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specific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question in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;</w:t>
            </w: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select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apply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most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appropriate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aligning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visualizing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analyzing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predicting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secondary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elements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modeling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from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sequence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(3) General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competence</w:t>
            </w:r>
            <w:proofErr w:type="spellEnd"/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 The student is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able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reflect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its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skills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bioinformatics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so as to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decide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whether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 given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problem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could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benefit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from a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bioinformatics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approach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which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180413" w:rsidRPr="00C557E5" w:rsidRDefault="00180413" w:rsidP="00295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- Using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their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theoretical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about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most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commonly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used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bioinformatics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is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able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encountering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new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online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tool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to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 general understanding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its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underlying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principle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]</w:t>
            </w:r>
          </w:p>
          <w:p w:rsidR="00180413" w:rsidRPr="00C557E5" w:rsidRDefault="00180413" w:rsidP="00295D3A">
            <w:pPr>
              <w:pStyle w:val="Listeavsnitt"/>
              <w:widowControl/>
              <w:spacing w:after="0"/>
              <w:ind w:left="569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Krav til forkunnskapar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>Required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>Previous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 xml:space="preserve">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295D3A">
            <w:pPr>
              <w:pStyle w:val="BODY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MOL100 eller tilsvarande</w:t>
            </w:r>
          </w:p>
          <w:p w:rsidR="00180413" w:rsidRPr="00C557E5" w:rsidRDefault="00180413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80413" w:rsidRPr="00C557E5" w:rsidRDefault="00180413" w:rsidP="00295D3A">
            <w:pPr>
              <w:pStyle w:val="BODY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[MOL100/MOL101 or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equivalent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basic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knowlegde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biochemistry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.]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Tilrådde forkunnskapar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>Recommended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>previous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  <w:lang w:val="nn-NO"/>
              </w:rPr>
              <w:t xml:space="preserve">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295D3A">
            <w:pPr>
              <w:pStyle w:val="Normal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MOL200 eller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tilsvarande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0413" w:rsidRPr="00C557E5" w:rsidRDefault="00180413" w:rsidP="0062257B">
            <w:pPr>
              <w:spacing w:after="0" w:line="268" w:lineRule="exact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80413" w:rsidRPr="00C557E5" w:rsidRDefault="00180413" w:rsidP="00295D3A">
            <w:pPr>
              <w:pStyle w:val="Normal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[</w:t>
            </w:r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MOL200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Metabolism:Reactions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Regulations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Compartmentalization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; or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equivalent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.]</w:t>
            </w:r>
          </w:p>
          <w:p w:rsidR="00180413" w:rsidRPr="00C557E5" w:rsidRDefault="00180413" w:rsidP="00295D3A">
            <w:pPr>
              <w:spacing w:after="0" w:line="268" w:lineRule="exact"/>
              <w:ind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Studiepoengsreduksjon</w:t>
            </w:r>
            <w:proofErr w:type="spellEnd"/>
          </w:p>
          <w:p w:rsidR="00180413" w:rsidRPr="000F4742" w:rsidRDefault="00180413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</w:pPr>
          </w:p>
          <w:p w:rsidR="00180413" w:rsidRPr="000F4742" w:rsidRDefault="00180413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 xml:space="preserve">Credit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>Reduction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 xml:space="preserve"> due to Course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>Overlap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KB207 10sp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Krav til Studierett</w:t>
            </w:r>
          </w:p>
          <w:p w:rsidR="00180413" w:rsidRPr="000F4742" w:rsidRDefault="00180413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 xml:space="preserve">Access to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>the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  <w:lang w:val="nn-NO"/>
              </w:rPr>
              <w:t xml:space="preserve">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10" w:history="1">
              <w:r w:rsidRPr="00C557E5">
                <w:rPr>
                  <w:rStyle w:val="Hyperkobling"/>
                  <w:rFonts w:asciiTheme="minorHAnsi" w:hAnsiTheme="minorHAnsi" w:cstheme="minorHAnsi"/>
                  <w:color w:val="auto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180413" w:rsidRPr="00C557E5" w:rsidRDefault="00180413" w:rsidP="0062257B">
            <w:pPr>
              <w:pStyle w:val="Default"/>
              <w:ind w:left="142" w:right="142"/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[Access to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course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requires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admission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to a programme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study at The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Faculty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Mathematics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and Natural Sciences] </w:t>
            </w:r>
          </w:p>
          <w:p w:rsidR="00180413" w:rsidRPr="00C557E5" w:rsidRDefault="00180413" w:rsidP="0062257B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</w:p>
          <w:p w:rsidR="00180413" w:rsidRPr="00C557E5" w:rsidRDefault="00180413" w:rsidP="009C1186">
            <w:pPr>
              <w:pStyle w:val="Default"/>
              <w:ind w:left="142" w:right="142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nn-NO"/>
              </w:rPr>
            </w:pPr>
          </w:p>
        </w:tc>
      </w:tr>
      <w:tr w:rsidR="00180413" w:rsidRPr="000F4742" w:rsidTr="00180413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Arbeids- og undervisningsformer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Teaching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0413" w:rsidRPr="00C557E5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80413" w:rsidRPr="000F4742" w:rsidTr="00180413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Obligatorisk undervisningsaktivitet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A163D5">
            <w:pPr>
              <w:pStyle w:val="Normal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Førelesningar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øvingar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og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godkjende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oppgåver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0413" w:rsidRPr="00C557E5" w:rsidRDefault="00180413" w:rsidP="00A163D5">
            <w:pPr>
              <w:ind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80413" w:rsidRPr="00C557E5" w:rsidRDefault="00180413" w:rsidP="00A163D5">
            <w:pPr>
              <w:pStyle w:val="Normal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Lectures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practical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tasks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together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approved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reports.]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A163D5">
            <w:pPr>
              <w:pStyle w:val="BODY"/>
              <w:widowControl w:val="0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Skriftleg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eksamen, 4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timar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. Eventuelt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munnleg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eksamen avhengig av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talet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på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studentar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80413" w:rsidRPr="00C557E5" w:rsidRDefault="00180413" w:rsidP="00A163D5">
            <w:pPr>
              <w:ind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80413" w:rsidRPr="00C557E5" w:rsidRDefault="00180413" w:rsidP="00A163D5">
            <w:pPr>
              <w:pStyle w:val="BODY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Written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possibly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oral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exams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depending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candidates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>approved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</w:rPr>
              <w:t xml:space="preserve"> reports </w:t>
            </w: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</w:tc>
      </w:tr>
      <w:tr w:rsidR="00180413" w:rsidRPr="000F4742" w:rsidTr="00180413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6"/>
            </w:tblGrid>
            <w:tr w:rsidR="00C557E5" w:rsidRPr="00C557E5" w:rsidTr="00425D71">
              <w:trPr>
                <w:trHeight w:val="2897"/>
              </w:trPr>
              <w:tc>
                <w:tcPr>
                  <w:tcW w:w="5946" w:type="dxa"/>
                </w:tcPr>
                <w:p w:rsidR="00180413" w:rsidRPr="00C557E5" w:rsidRDefault="00180413" w:rsidP="00A163D5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 xml:space="preserve">Enkel kalkulator </w:t>
                  </w:r>
                  <w:proofErr w:type="spellStart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 xml:space="preserve">, i samsvar med modeller angitt i fakultetets regler </w:t>
                  </w:r>
                </w:p>
                <w:p w:rsidR="00180413" w:rsidRPr="00C557E5" w:rsidRDefault="00180413" w:rsidP="00A163D5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</w:pPr>
                </w:p>
                <w:p w:rsidR="00180413" w:rsidRPr="00C557E5" w:rsidRDefault="00180413" w:rsidP="00A163D5">
                  <w:pPr>
                    <w:spacing w:after="0" w:line="272" w:lineRule="exact"/>
                    <w:ind w:right="142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  <w:lang w:val="nn-NO"/>
                    </w:rPr>
                  </w:pPr>
                  <w:r w:rsidRPr="00C557E5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  <w:lang w:val="nn-NO"/>
                    </w:rPr>
                    <w:t>[</w:t>
                  </w:r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>Non-</w:t>
                  </w:r>
                  <w:proofErr w:type="spellStart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>programmable</w:t>
                  </w:r>
                  <w:proofErr w:type="spellEnd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>calculator</w:t>
                  </w:r>
                  <w:proofErr w:type="spellEnd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 xml:space="preserve">, </w:t>
                  </w:r>
                  <w:proofErr w:type="spellStart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>according</w:t>
                  </w:r>
                  <w:proofErr w:type="spellEnd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 xml:space="preserve"> to </w:t>
                  </w:r>
                  <w:proofErr w:type="spellStart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>the</w:t>
                  </w:r>
                  <w:proofErr w:type="spellEnd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>faculty</w:t>
                  </w:r>
                  <w:proofErr w:type="spellEnd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>regulations</w:t>
                  </w:r>
                  <w:proofErr w:type="spellEnd"/>
                  <w:r w:rsidRPr="00C557E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nn-NO"/>
                    </w:rPr>
                    <w:t>]</w:t>
                  </w:r>
                </w:p>
              </w:tc>
            </w:tr>
          </w:tbl>
          <w:p w:rsidR="00180413" w:rsidRPr="00C557E5" w:rsidRDefault="00180413" w:rsidP="0062257B">
            <w:pPr>
              <w:spacing w:after="0" w:line="272" w:lineRule="exact"/>
              <w:ind w:left="142" w:right="14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Ved sensur vert karakterskalaen A-F nytta. [</w:t>
            </w:r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grading</w:t>
            </w:r>
            <w:proofErr w:type="spellEnd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scale</w:t>
            </w:r>
            <w:proofErr w:type="spellEnd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used is A to F. Grade A is </w:t>
            </w:r>
            <w:proofErr w:type="spellStart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highest</w:t>
            </w:r>
            <w:proofErr w:type="spellEnd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passing</w:t>
            </w:r>
            <w:proofErr w:type="spellEnd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grade in </w:t>
            </w:r>
            <w:proofErr w:type="spellStart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grading</w:t>
            </w:r>
            <w:proofErr w:type="spellEnd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scale</w:t>
            </w:r>
            <w:proofErr w:type="spellEnd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, grade F is a </w:t>
            </w:r>
            <w:proofErr w:type="spellStart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C557E5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.]</w:t>
            </w:r>
          </w:p>
          <w:p w:rsidR="00180413" w:rsidRPr="00C557E5" w:rsidRDefault="00180413" w:rsidP="0062257B">
            <w:pPr>
              <w:ind w:left="142" w:right="142"/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180413" w:rsidRPr="00C557E5" w:rsidRDefault="00180413" w:rsidP="0062257B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[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Examination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both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spring semester and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autumn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semester. In semesters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without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teaching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examination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will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be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arranged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at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beginning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semester.]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Litteraturliste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E64A5C">
            <w:pPr>
              <w:widowControl/>
              <w:spacing w:after="0"/>
              <w:ind w:left="144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180413" w:rsidRPr="00C557E5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80413" w:rsidRPr="00C557E5" w:rsidRDefault="00180413" w:rsidP="006C487F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[The </w:t>
            </w:r>
            <w:proofErr w:type="spellStart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reading</w:t>
            </w:r>
            <w:proofErr w:type="spellEnd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list </w:t>
            </w:r>
            <w:proofErr w:type="spellStart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will</w:t>
            </w:r>
            <w:proofErr w:type="spellEnd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available</w:t>
            </w:r>
            <w:proofErr w:type="spellEnd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within</w:t>
            </w:r>
            <w:proofErr w:type="spellEnd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June 1st for </w:t>
            </w:r>
            <w:proofErr w:type="spellStart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  <w:proofErr w:type="spellEnd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 and </w:t>
            </w:r>
            <w:proofErr w:type="spellStart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January</w:t>
            </w:r>
            <w:proofErr w:type="spellEnd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1st for </w:t>
            </w:r>
            <w:proofErr w:type="spellStart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spring semester]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E</w:t>
            </w:r>
            <w:r w:rsidRPr="000F474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0F4742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0F474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0F4742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0F474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180413" w:rsidRPr="000F4742" w:rsidRDefault="0018041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180413" w:rsidRPr="000F4742" w:rsidRDefault="0018041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62257B">
            <w:pPr>
              <w:ind w:left="142" w:right="142"/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557E5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C557E5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180413" w:rsidRPr="00C557E5" w:rsidRDefault="00180413" w:rsidP="006C487F">
            <w:pPr>
              <w:pStyle w:val="Default"/>
              <w:ind w:left="142" w:right="142"/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[The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course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will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evaluated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by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students in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accordance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with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quality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assurance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system at UiB and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department</w:t>
            </w:r>
            <w:proofErr w:type="spellEnd"/>
            <w:r w:rsidRPr="00C557E5"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  <w:t>]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180413" w:rsidRPr="000F4742" w:rsidRDefault="0018041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62257B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180413" w:rsidRPr="00C557E5" w:rsidRDefault="00180413" w:rsidP="006C487F">
            <w:pPr>
              <w:pStyle w:val="Default"/>
              <w:ind w:left="142" w:right="142"/>
              <w:rPr>
                <w:rFonts w:asciiTheme="minorHAnsi" w:hAnsiTheme="minorHAnsi" w:cstheme="minorHAnsi"/>
                <w:color w:val="auto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 xml:space="preserve">The Programme Committee is </w:t>
            </w:r>
            <w:proofErr w:type="spellStart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>responsible</w:t>
            </w:r>
            <w:proofErr w:type="spellEnd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>content</w:t>
            </w:r>
            <w:proofErr w:type="spellEnd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>structure</w:t>
            </w:r>
            <w:proofErr w:type="spellEnd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>quality</w:t>
            </w:r>
            <w:proofErr w:type="spellEnd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>of</w:t>
            </w:r>
            <w:proofErr w:type="spellEnd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>the</w:t>
            </w:r>
            <w:proofErr w:type="spellEnd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 xml:space="preserve"> study programme and </w:t>
            </w:r>
            <w:proofErr w:type="spellStart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>courses</w:t>
            </w:r>
            <w:proofErr w:type="spellEnd"/>
            <w:r w:rsidRPr="00C557E5">
              <w:rPr>
                <w:rFonts w:asciiTheme="minorHAnsi" w:hAnsiTheme="minorHAnsi" w:cstheme="minorHAnsi"/>
                <w:iCs/>
                <w:color w:val="auto"/>
                <w:sz w:val="20"/>
                <w:szCs w:val="20"/>
                <w:lang w:val="nn-NO"/>
              </w:rPr>
              <w:t xml:space="preserve">. </w:t>
            </w:r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180413" w:rsidRPr="000F4742" w:rsidRDefault="00180413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A163D5">
            <w:pPr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1" w:history="1">
              <w:r w:rsidRPr="00C557E5">
                <w:rPr>
                  <w:rStyle w:val="Hyperkobling"/>
                  <w:rFonts w:asciiTheme="minorHAnsi" w:hAnsiTheme="minorHAnsi" w:cstheme="minorHAnsi"/>
                  <w:i/>
                  <w:color w:val="auto"/>
                  <w:sz w:val="20"/>
                  <w:szCs w:val="20"/>
                  <w:lang w:val="nn-NO"/>
                </w:rPr>
                <w:t>Studierettleiar@mbi.uib.no</w:t>
              </w:r>
            </w:hyperlink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C557E5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557E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  <w:bookmarkStart w:id="0" w:name="_GoBack"/>
            <w:bookmarkEnd w:id="0"/>
          </w:p>
        </w:tc>
      </w:tr>
      <w:tr w:rsidR="00180413" w:rsidRPr="000F4742" w:rsidTr="00180413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0F474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0F4742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0F474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0F4742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0F4742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0F4742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0F4742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0F47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180413" w:rsidRPr="000F4742" w:rsidRDefault="00180413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0F4742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3" w:rsidRPr="000F4742" w:rsidRDefault="0018041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180413" w:rsidRPr="000F4742" w:rsidRDefault="00180413" w:rsidP="0062257B">
            <w:pPr>
              <w:widowControl/>
              <w:spacing w:after="0"/>
              <w:ind w:left="142" w:right="142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0F474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2" w:history="1">
              <w:r w:rsidRPr="000F4742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  <w:p w:rsidR="00180413" w:rsidRPr="000F4742" w:rsidRDefault="00180413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4D7F" w:rsidRPr="000F4742" w:rsidRDefault="00AF4D7F" w:rsidP="006C487F">
      <w:pPr>
        <w:widowControl/>
        <w:rPr>
          <w:rFonts w:asciiTheme="minorHAnsi" w:hAnsiTheme="minorHAnsi" w:cstheme="minorHAnsi"/>
          <w:sz w:val="20"/>
          <w:szCs w:val="20"/>
          <w:highlight w:val="yellow"/>
          <w:lang w:val="nn-NO"/>
        </w:rPr>
      </w:pPr>
      <w:r w:rsidRPr="000F4742">
        <w:rPr>
          <w:rFonts w:asciiTheme="minorHAnsi" w:hAnsiTheme="minorHAnsi" w:cstheme="minorHAnsi"/>
          <w:sz w:val="20"/>
          <w:szCs w:val="20"/>
          <w:lang w:val="nn-NO"/>
        </w:rPr>
        <w:br w:type="page"/>
      </w:r>
    </w:p>
    <w:p w:rsidR="003F6242" w:rsidRPr="000F4742" w:rsidRDefault="003F6242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</w:p>
    <w:p w:rsidR="00A163D5" w:rsidRPr="000F4742" w:rsidRDefault="003F6242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sz w:val="20"/>
          <w:szCs w:val="20"/>
          <w:lang w:val="nn-NO"/>
        </w:rPr>
        <w:t xml:space="preserve">Emnebeskriving for </w:t>
      </w:r>
      <w:r w:rsidR="00A163D5" w:rsidRPr="000F4742">
        <w:rPr>
          <w:rFonts w:asciiTheme="minorHAnsi" w:hAnsiTheme="minorHAnsi" w:cstheme="minorHAnsi"/>
          <w:sz w:val="20"/>
          <w:szCs w:val="20"/>
          <w:lang w:val="nn-NO"/>
        </w:rPr>
        <w:tab/>
        <w:t>MOL204 Anvendt bioinformatikk</w:t>
      </w:r>
    </w:p>
    <w:p w:rsidR="003F6242" w:rsidRPr="000F4742" w:rsidRDefault="003F6242" w:rsidP="00EF7272">
      <w:pPr>
        <w:widowControl/>
        <w:rPr>
          <w:rFonts w:asciiTheme="minorHAnsi" w:hAnsiTheme="minorHAnsi" w:cstheme="minorHAnsi"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ab/>
      </w: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ab/>
      </w: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ab/>
      </w:r>
      <w:r w:rsidR="00A163D5" w:rsidRPr="000F4742">
        <w:rPr>
          <w:rFonts w:asciiTheme="minorHAnsi" w:hAnsiTheme="minorHAnsi" w:cstheme="minorHAnsi"/>
          <w:i/>
          <w:sz w:val="20"/>
          <w:szCs w:val="20"/>
          <w:lang w:val="nn-NO"/>
        </w:rPr>
        <w:t xml:space="preserve">MOL204 </w:t>
      </w:r>
      <w:r w:rsidR="00A163D5" w:rsidRPr="000F4742">
        <w:rPr>
          <w:rFonts w:asciiTheme="minorHAnsi" w:hAnsiTheme="minorHAnsi" w:cstheme="minorHAnsi"/>
          <w:sz w:val="20"/>
          <w:szCs w:val="20"/>
          <w:lang w:val="nn-NO"/>
        </w:rPr>
        <w:t>Anvendt bioinformatikk</w:t>
      </w:r>
    </w:p>
    <w:p w:rsidR="003F6242" w:rsidRPr="000F4742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sz w:val="20"/>
          <w:szCs w:val="20"/>
          <w:lang w:val="nn-NO"/>
        </w:rPr>
        <w:tab/>
      </w:r>
      <w:r w:rsidRPr="000F4742">
        <w:rPr>
          <w:rFonts w:asciiTheme="minorHAnsi" w:hAnsiTheme="minorHAnsi" w:cstheme="minorHAnsi"/>
          <w:sz w:val="20"/>
          <w:szCs w:val="20"/>
          <w:lang w:val="nn-NO"/>
        </w:rPr>
        <w:tab/>
      </w:r>
      <w:r w:rsidRPr="000F4742">
        <w:rPr>
          <w:rFonts w:asciiTheme="minorHAnsi" w:hAnsiTheme="minorHAnsi" w:cstheme="minorHAnsi"/>
          <w:sz w:val="20"/>
          <w:szCs w:val="20"/>
          <w:lang w:val="nn-NO"/>
        </w:rPr>
        <w:tab/>
      </w:r>
      <w:r w:rsidR="00A163D5" w:rsidRPr="000F4742">
        <w:rPr>
          <w:rFonts w:asciiTheme="minorHAnsi" w:hAnsiTheme="minorHAnsi" w:cstheme="minorHAnsi"/>
          <w:sz w:val="20"/>
          <w:szCs w:val="20"/>
          <w:lang w:val="nn-NO"/>
        </w:rPr>
        <w:t>MOL204 Applied Bioinformatics</w:t>
      </w:r>
    </w:p>
    <w:p w:rsidR="003F6242" w:rsidRPr="000F4742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Godkjenning:</w:t>
      </w:r>
    </w:p>
    <w:p w:rsidR="003F6242" w:rsidRPr="000F4742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Emnebeskrivinga er godkjend av (Fakultetet brukar nemningar for godkjenningsorgan i samsvar med eigen praksis.):</w:t>
      </w: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ab/>
      </w:r>
    </w:p>
    <w:p w:rsidR="003F6242" w:rsidRPr="000F4742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Programstyret:  …………………………………….(</w:t>
      </w:r>
      <w:proofErr w:type="spellStart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 xml:space="preserve">) </w:t>
      </w:r>
    </w:p>
    <w:p w:rsidR="003F6242" w:rsidRPr="000F4742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ab/>
      </w:r>
    </w:p>
    <w:p w:rsidR="003F6242" w:rsidRPr="000F4742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Institutt for …………….. :     .………………………(</w:t>
      </w:r>
      <w:proofErr w:type="spellStart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0F4742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………… fakultet: …………………………………….(</w:t>
      </w:r>
      <w:proofErr w:type="spellStart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0F4742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20"/>
          <w:szCs w:val="20"/>
          <w:lang w:val="nn-NO"/>
        </w:rPr>
      </w:pPr>
    </w:p>
    <w:p w:rsidR="003F6242" w:rsidRPr="000F4742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 xml:space="preserve">Emnebeskrivinga vart justert:  </w:t>
      </w: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ab/>
        <w:t>…………………………………….(</w:t>
      </w:r>
      <w:proofErr w:type="spellStart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) av ……………………………………………………………….</w:t>
      </w:r>
    </w:p>
    <w:p w:rsidR="003F6242" w:rsidRPr="000F4742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</w:p>
    <w:p w:rsidR="003F6242" w:rsidRPr="000F4742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Evaluering:</w:t>
      </w:r>
    </w:p>
    <w:p w:rsidR="003F6242" w:rsidRPr="000F4742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Emnet vart sist evaluert: …………………………………….(</w:t>
      </w:r>
      <w:proofErr w:type="spellStart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)</w:t>
      </w:r>
    </w:p>
    <w:p w:rsidR="003F6242" w:rsidRPr="000F4742" w:rsidRDefault="003F6242" w:rsidP="00EF7272">
      <w:pPr>
        <w:widowControl/>
        <w:rPr>
          <w:rFonts w:asciiTheme="minorHAnsi" w:hAnsiTheme="minorHAnsi" w:cstheme="minorHAnsi"/>
          <w:i/>
          <w:sz w:val="20"/>
          <w:szCs w:val="20"/>
          <w:lang w:val="nn-NO"/>
        </w:rPr>
      </w:pPr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Neste planlagde evaluering:     …………………………………….(</w:t>
      </w:r>
      <w:proofErr w:type="spellStart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>dd.mm.år</w:t>
      </w:r>
      <w:proofErr w:type="spellEnd"/>
      <w:r w:rsidRPr="000F4742">
        <w:rPr>
          <w:rFonts w:asciiTheme="minorHAnsi" w:hAnsiTheme="minorHAnsi" w:cstheme="minorHAnsi"/>
          <w:i/>
          <w:sz w:val="20"/>
          <w:szCs w:val="20"/>
          <w:lang w:val="nn-NO"/>
        </w:rPr>
        <w:t xml:space="preserve">) </w:t>
      </w:r>
    </w:p>
    <w:p w:rsidR="003F6242" w:rsidRPr="000F4742" w:rsidRDefault="003F6242" w:rsidP="00EF7272">
      <w:pPr>
        <w:rPr>
          <w:rFonts w:asciiTheme="minorHAnsi" w:hAnsiTheme="minorHAnsi" w:cstheme="minorHAnsi"/>
          <w:sz w:val="20"/>
          <w:szCs w:val="20"/>
          <w:lang w:val="nn-NO"/>
        </w:rPr>
      </w:pPr>
    </w:p>
    <w:sectPr w:rsidR="003F6242" w:rsidRPr="000F4742" w:rsidSect="004F647F">
      <w:headerReference w:type="default" r:id="rId13"/>
      <w:footerReference w:type="default" r:id="rId14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3A" w:rsidRDefault="00295D3A" w:rsidP="007E1FBB">
      <w:pPr>
        <w:spacing w:after="0" w:line="240" w:lineRule="auto"/>
      </w:pPr>
      <w:r>
        <w:separator/>
      </w:r>
    </w:p>
  </w:endnote>
  <w:endnote w:type="continuationSeparator" w:id="0">
    <w:p w:rsidR="00295D3A" w:rsidRDefault="00295D3A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A" w:rsidRDefault="00295D3A">
    <w:pPr>
      <w:pStyle w:val="Bunntekst"/>
      <w:jc w:val="right"/>
    </w:pPr>
  </w:p>
  <w:p w:rsidR="00295D3A" w:rsidRDefault="00295D3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3A" w:rsidRDefault="00295D3A" w:rsidP="007E1FBB">
      <w:pPr>
        <w:spacing w:after="0" w:line="240" w:lineRule="auto"/>
      </w:pPr>
      <w:r>
        <w:separator/>
      </w:r>
    </w:p>
  </w:footnote>
  <w:footnote w:type="continuationSeparator" w:id="0">
    <w:p w:rsidR="00295D3A" w:rsidRDefault="00295D3A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3A" w:rsidRPr="001D4AF2" w:rsidRDefault="00295D3A">
    <w:pPr>
      <w:pStyle w:val="Topptekst"/>
      <w:rPr>
        <w:lang w:val="nb-NO"/>
      </w:rPr>
    </w:pPr>
    <w:r>
      <w:rPr>
        <w:lang w:val="nb-NO"/>
      </w:rPr>
      <w:t>Emnekode: MOL204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E674540"/>
    <w:multiLevelType w:val="hybridMultilevel"/>
    <w:tmpl w:val="C28C0E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75FFA"/>
    <w:multiLevelType w:val="hybridMultilevel"/>
    <w:tmpl w:val="90CC7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0F4742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80413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5D3A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907EE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3D5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7E5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paragraph" w:customStyle="1" w:styleId="BODY">
    <w:name w:val="BODY"/>
    <w:basedOn w:val="Normal"/>
    <w:uiPriority w:val="99"/>
    <w:rsid w:val="00295D3A"/>
    <w:pPr>
      <w:widowControl/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  <w:style w:type="paragraph" w:customStyle="1" w:styleId="Normal0">
    <w:name w:val="[Normal]"/>
    <w:rsid w:val="00295D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  <w:style w:type="paragraph" w:customStyle="1" w:styleId="BODY">
    <w:name w:val="BODY"/>
    <w:basedOn w:val="Normal"/>
    <w:uiPriority w:val="99"/>
    <w:rsid w:val="00295D3A"/>
    <w:pPr>
      <w:widowControl/>
      <w:autoSpaceDE w:val="0"/>
      <w:autoSpaceDN w:val="0"/>
      <w:adjustRightInd w:val="0"/>
      <w:spacing w:before="134" w:after="134" w:line="240" w:lineRule="auto"/>
    </w:pPr>
    <w:rPr>
      <w:rFonts w:ascii="Arial" w:hAnsi="Arial" w:cs="Arial"/>
      <w:sz w:val="24"/>
      <w:szCs w:val="24"/>
      <w:lang w:val="nb-NO" w:eastAsia="nb-NO"/>
    </w:rPr>
  </w:style>
  <w:style w:type="paragraph" w:customStyle="1" w:styleId="Normal0">
    <w:name w:val="[Normal]"/>
    <w:rsid w:val="00295D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ierettleiar@mbi.uib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rettleiar@mbi.uib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ib.no/matnat/52646/opptak-ved-mn-fakultet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en/matnat/53431/admission-courses-limited-capac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8868-8A42-44AF-B86E-6F04F566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8C5B6278.dotm</Template>
  <TotalTime>10</TotalTime>
  <Pages>8</Pages>
  <Words>1310</Words>
  <Characters>9013</Characters>
  <Application>Microsoft Office Word</Application>
  <DocSecurity>0</DocSecurity>
  <Lines>75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Lill Kristin Knudsen</cp:lastModifiedBy>
  <cp:revision>6</cp:revision>
  <cp:lastPrinted>2014-11-06T13:45:00Z</cp:lastPrinted>
  <dcterms:created xsi:type="dcterms:W3CDTF">2017-01-31T15:39:00Z</dcterms:created>
  <dcterms:modified xsi:type="dcterms:W3CDTF">2017-02-01T15:07:00Z</dcterms:modified>
</cp:coreProperties>
</file>