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kobling"/>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Engelsk [English]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Pr="00D13CD7">
              <w:rPr>
                <w:rFonts w:asciiTheme="minorHAnsi" w:eastAsia="Times New Roman" w:hAnsiTheme="minorHAnsi" w:cstheme="minorHAnsi"/>
                <w:sz w:val="20"/>
                <w:szCs w:val="20"/>
                <w:lang w:val="nb-NO" w:eastAsia="nb-NO"/>
              </w:rPr>
              <w:t>[English]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Pr="00D13CD7">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lastRenderedPageBreak/>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w:t>
            </w:r>
            <w:r w:rsidRPr="00D13CD7">
              <w:rPr>
                <w:rFonts w:asciiTheme="minorHAnsi" w:hAnsiTheme="minorHAnsi" w:cstheme="minorHAnsi"/>
                <w:i/>
                <w:iCs/>
                <w:sz w:val="20"/>
                <w:szCs w:val="20"/>
              </w:rPr>
              <w:t xml:space="preserve">Objectives: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rPr>
              <w:t>The course…]</w:t>
            </w: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eavsnitt"/>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lastRenderedPageBreak/>
              <w:t>Skills</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is able to</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934D5" w:rsidRPr="00135475" w:rsidRDefault="001B1A1F"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rsidR="00135475" w:rsidRPr="00D13CD7" w:rsidRDefault="00135475" w:rsidP="00135475">
            <w:pPr>
              <w:pStyle w:val="Listeavsnitt"/>
              <w:widowControl/>
              <w:numPr>
                <w:ilvl w:val="0"/>
                <w:numId w:val="6"/>
              </w:numPr>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837034"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hyperlink r:id="rId11" w:history="1">
              <w:r w:rsidRPr="00D13CD7">
                <w:rPr>
                  <w:rStyle w:val="Hyperkobling"/>
                  <w:rFonts w:asciiTheme="minorHAnsi" w:hAnsiTheme="minorHAnsi" w:cstheme="minorHAnsi"/>
                  <w:sz w:val="20"/>
                  <w:szCs w:val="20"/>
                  <w:lang w:val="nn-NO"/>
                </w:rPr>
                <w:t>http://www.uib.no/matnat/52646/opptak-ved-mn-fakultetet</w:t>
              </w:r>
            </w:hyperlink>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r w:rsidR="00316559">
              <w:fldChar w:fldCharType="begin"/>
            </w:r>
            <w:r w:rsidR="00316559" w:rsidRPr="00316559">
              <w:rPr>
                <w:lang w:val="nn-NO"/>
              </w:rPr>
              <w:instrText xml:space="preserve"> HYPERLINK "http://www.uib.no/matnat/52646/opptak-ved-mn-fakultetet" </w:instrText>
            </w:r>
            <w:r w:rsidR="00316559">
              <w:fldChar w:fldCharType="separate"/>
            </w:r>
            <w:r w:rsidRPr="00D13CD7">
              <w:rPr>
                <w:rStyle w:val="Hyperkobling"/>
                <w:rFonts w:asciiTheme="minorHAnsi" w:hAnsiTheme="minorHAnsi" w:cstheme="minorHAnsi"/>
                <w:sz w:val="20"/>
                <w:szCs w:val="20"/>
              </w:rPr>
              <w:t>http://www.uib.no/matnat/52646/opptak-ved-mn-</w:t>
            </w:r>
            <w:r w:rsidRPr="00D13CD7">
              <w:rPr>
                <w:rStyle w:val="Hyperkobling"/>
                <w:rFonts w:asciiTheme="minorHAnsi" w:hAnsiTheme="minorHAnsi" w:cstheme="minorHAnsi"/>
                <w:sz w:val="20"/>
                <w:szCs w:val="20"/>
              </w:rPr>
              <w:lastRenderedPageBreak/>
              <w:t>fakultetet</w:t>
            </w:r>
            <w:r w:rsidR="00316559">
              <w:rPr>
                <w:rStyle w:val="Hyperkobling"/>
                <w:rFonts w:asciiTheme="minorHAnsi" w:hAnsiTheme="minorHAnsi" w:cstheme="minorHAnsi"/>
                <w:sz w:val="20"/>
                <w:szCs w:val="20"/>
              </w:rPr>
              <w:fldChar w:fldCharType="end"/>
            </w:r>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316559"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316559"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utgjør …% av karakteren.</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Skriftleg eksamen (4 timar), utgjør 70% av karakteren.</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rsidR="001B1A1F" w:rsidRPr="00D13CD7" w:rsidRDefault="001B1A1F" w:rsidP="00672A84">
            <w:pPr>
              <w:pStyle w:val="Listeavsnitt"/>
              <w:numPr>
                <w:ilvl w:val="0"/>
                <w:numId w:val="4"/>
              </w:numPr>
              <w:ind w:left="569" w:right="142"/>
              <w:rPr>
                <w:rFonts w:asciiTheme="minorHAnsi" w:hAnsiTheme="minorHAnsi" w:cstheme="minorHAnsi"/>
                <w:i/>
                <w:sz w:val="20"/>
                <w:szCs w:val="20"/>
              </w:rPr>
            </w:pPr>
            <w:r w:rsidRPr="00D13CD7">
              <w:rPr>
                <w:rFonts w:asciiTheme="minorHAnsi" w:hAnsiTheme="minorHAnsi" w:cstheme="minorHAnsi"/>
                <w:i/>
                <w:sz w:val="20"/>
                <w:szCs w:val="20"/>
              </w:rPr>
              <w:t>Written examination (4 hours), 70% of total grade.</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w:t>
            </w: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316559" w:rsidRPr="00D13CD7" w:rsidRDefault="00316559" w:rsidP="00316559">
                  <w:pPr>
                    <w:pStyle w:val="Listeavsnitt"/>
                    <w:numPr>
                      <w:ilvl w:val="0"/>
                      <w:numId w:val="14"/>
                    </w:numPr>
                    <w:spacing w:after="0" w:line="272" w:lineRule="exact"/>
                    <w:ind w:left="448" w:right="142"/>
                    <w:rPr>
                      <w:rFonts w:asciiTheme="minorHAnsi" w:hAnsiTheme="minorHAnsi" w:cstheme="minorHAnsi"/>
                      <w:bCs/>
                      <w:sz w:val="20"/>
                      <w:szCs w:val="20"/>
                    </w:rPr>
                  </w:pPr>
                  <w:bookmarkStart w:id="0" w:name="_GoBack"/>
                  <w:r w:rsidRPr="00D13CD7">
                    <w:rPr>
                      <w:rFonts w:asciiTheme="minorHAnsi" w:hAnsiTheme="minorHAnsi" w:cstheme="minorHAnsi"/>
                      <w:bCs/>
                      <w:sz w:val="20"/>
                      <w:szCs w:val="20"/>
                    </w:rPr>
                    <w:t xml:space="preserve">All calculators, according to the faculty regulations, </w:t>
                  </w:r>
                </w:p>
                <w:bookmarkEnd w:id="0"/>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w:t>
            </w:r>
            <w:proofErr w:type="spellStart"/>
            <w:r w:rsidRPr="00D13CD7">
              <w:rPr>
                <w:rFonts w:asciiTheme="minorHAnsi" w:hAnsiTheme="minorHAnsi" w:cstheme="minorHAnsi"/>
                <w:sz w:val="20"/>
                <w:szCs w:val="20"/>
              </w:rPr>
              <w:t>Skriv</w:t>
            </w:r>
            <w:proofErr w:type="spellEnd"/>
            <w:r w:rsidRPr="00D13CD7">
              <w:rPr>
                <w:rFonts w:asciiTheme="minorHAnsi" w:hAnsiTheme="minorHAnsi" w:cstheme="minorHAnsi"/>
                <w:sz w:val="20"/>
                <w:szCs w:val="20"/>
              </w:rPr>
              <w:t xml:space="preserve"> Ingen </w:t>
            </w:r>
            <w:proofErr w:type="spellStart"/>
            <w:r w:rsidRPr="00D13CD7">
              <w:rPr>
                <w:rFonts w:asciiTheme="minorHAnsi" w:hAnsiTheme="minorHAnsi" w:cstheme="minorHAnsi"/>
                <w:sz w:val="20"/>
                <w:szCs w:val="20"/>
              </w:rPr>
              <w:t>dersom</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rsidR="001B1A1F" w:rsidRPr="00D13CD7" w:rsidRDefault="001B1A1F"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rsidR="001B1A1F" w:rsidRPr="00D13CD7" w:rsidRDefault="001B1A1F"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 xml:space="preserve">Pass/ </w:t>
            </w:r>
            <w:proofErr w:type="spellStart"/>
            <w:r w:rsidRPr="00D13CD7">
              <w:rPr>
                <w:rFonts w:asciiTheme="minorHAnsi" w:eastAsia="SimSun" w:hAnsiTheme="minorHAnsi" w:cstheme="minorHAnsi"/>
                <w:i/>
                <w:sz w:val="20"/>
                <w:szCs w:val="20"/>
                <w:lang w:val="nn-NO"/>
              </w:rPr>
              <w:t>fail</w:t>
            </w:r>
            <w:proofErr w:type="spellEnd"/>
            <w:r w:rsidRPr="00D13CD7">
              <w:rPr>
                <w:rFonts w:asciiTheme="minorHAnsi" w:eastAsia="SimSun"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hyperlink r:id="rId12" w:history="1">
              <w:r w:rsidRPr="006D326B">
                <w:rPr>
                  <w:rStyle w:val="Hyperkobling"/>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1B1A1F" w:rsidRPr="00D13CD7"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13CD7">
              <w:rPr>
                <w:rFonts w:asciiTheme="minorHAnsi" w:hAnsiTheme="minorHAnsi" w:cstheme="minorHAnsi"/>
                <w:sz w:val="20"/>
                <w:szCs w:val="20"/>
                <w:lang w:val="en-US"/>
              </w:rPr>
              <w:t>UiB</w:t>
            </w:r>
            <w:proofErr w:type="spellEnd"/>
            <w:r w:rsidRPr="00D13CD7">
              <w:rPr>
                <w:rFonts w:asciiTheme="minorHAnsi" w:hAnsiTheme="minorHAnsi" w:cstheme="minorHAnsi"/>
                <w:sz w:val="20"/>
                <w:szCs w:val="20"/>
                <w:lang w:val="en-US"/>
              </w:rPr>
              <w:t xml:space="preserve">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3"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316559"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4" w:history="1">
              <w:r w:rsidRPr="00D13CD7">
                <w:rPr>
                  <w:rFonts w:asciiTheme="minorHAnsi" w:hAnsiTheme="minorHAnsi" w:cstheme="minorHAnsi"/>
                  <w:i/>
                  <w:sz w:val="20"/>
                  <w:szCs w:val="20"/>
                  <w:u w:val="single"/>
                  <w:lang w:val="nn-NO"/>
                </w:rPr>
                <w:t>Studierettleiar@xx-uib.no</w:t>
              </w:r>
            </w:hyperlink>
          </w:p>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5"/>
      <w:footerReference w:type="default" r:id="rId16"/>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16559"/>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mailto:Studierettleiar@xx-uib.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r.no/ressurser/temasider/karaktersystemet_1/tekst_som_beskriver_det_norske_karaktersystem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ib.no/studiekvalitet" TargetMode="Externa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DBCBA-8FF3-4DB4-B22F-876A2097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28987847.dotm</Template>
  <TotalTime>102</TotalTime>
  <Pages>8</Pages>
  <Words>1618</Words>
  <Characters>10920</Characters>
  <Application>Microsoft Office Word</Application>
  <DocSecurity>0</DocSecurity>
  <Lines>91</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Ingrid W. Solhøy</cp:lastModifiedBy>
  <cp:revision>48</cp:revision>
  <cp:lastPrinted>2014-11-06T13:45:00Z</cp:lastPrinted>
  <dcterms:created xsi:type="dcterms:W3CDTF">2017-01-12T11:55:00Z</dcterms:created>
  <dcterms:modified xsi:type="dcterms:W3CDTF">2017-02-03T09:02:00Z</dcterms:modified>
</cp:coreProperties>
</file>