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A76CAD" w:rsidRDefault="00546EE4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E05353" w:rsidRDefault="00546EE4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A76CAD" w:rsidRDefault="00546EE4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546EE4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Standardtekster ved MN-</w:t>
            </w:r>
            <w:proofErr w:type="spellStart"/>
            <w:r w:rsidRPr="00546EE4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546EE4" w:rsidRPr="00E33BA5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MOL320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E33BA5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Biofysiske metodar for molekylærbiologar</w:t>
            </w:r>
          </w:p>
        </w:tc>
      </w:tr>
      <w:tr w:rsidR="00546EE4" w:rsidRPr="00E33BA5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Biofysiske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metoder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molekylærbiologer</w:t>
            </w:r>
          </w:p>
        </w:tc>
      </w:tr>
      <w:tr w:rsidR="00546EE4" w:rsidRPr="00E33BA5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Biophysical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biologists</w:t>
            </w:r>
            <w:proofErr w:type="spellEnd"/>
          </w:p>
        </w:tc>
      </w:tr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46EE4" w:rsidRPr="006C487F" w:rsidRDefault="00546EE4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lang w:val="nn-NO"/>
              </w:rPr>
              <w:t xml:space="preserve">Master eller </w:t>
            </w:r>
            <w:proofErr w:type="spellStart"/>
            <w:r w:rsidRPr="00DC2000">
              <w:rPr>
                <w:rFonts w:asciiTheme="minorHAnsi" w:hAnsiTheme="minorHAnsi" w:cstheme="minorHAnsi"/>
                <w:i/>
                <w:lang w:val="nn-NO"/>
              </w:rPr>
              <w:t>PhD</w:t>
            </w:r>
            <w:proofErr w:type="spellEnd"/>
            <w:r w:rsidRPr="00DC2000">
              <w:rPr>
                <w:rFonts w:asciiTheme="minorHAnsi" w:hAnsiTheme="minorHAnsi" w:cstheme="minorHAnsi"/>
                <w:i/>
                <w:lang w:val="nn-NO"/>
              </w:rPr>
              <w:t xml:space="preserve">  [Master or </w:t>
            </w:r>
            <w:proofErr w:type="spellStart"/>
            <w:r w:rsidRPr="00DC2000">
              <w:rPr>
                <w:rFonts w:asciiTheme="minorHAnsi" w:hAnsiTheme="minorHAnsi" w:cstheme="minorHAnsi"/>
                <w:i/>
                <w:lang w:val="nn-NO"/>
              </w:rPr>
              <w:t>PhD</w:t>
            </w:r>
            <w:proofErr w:type="spellEnd"/>
            <w:r w:rsidRPr="00DC2000">
              <w:rPr>
                <w:rFonts w:asciiTheme="minorHAnsi" w:hAnsiTheme="minorHAnsi" w:cstheme="minorHAnsi"/>
                <w:i/>
                <w:lang w:val="nn-NO"/>
              </w:rPr>
              <w:t>]</w:t>
            </w:r>
          </w:p>
        </w:tc>
      </w:tr>
      <w:tr w:rsidR="00546EE4" w:rsidRPr="00996578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546EE4" w:rsidRPr="00B3115F" w:rsidTr="00546EE4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lang w:val="nn-NO"/>
              </w:rPr>
              <w:t>Engelsk [English]</w:t>
            </w:r>
          </w:p>
        </w:tc>
      </w:tr>
      <w:tr w:rsidR="00546EE4" w:rsidRPr="00081041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46EE4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er med i undervisningsopptaket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[</w:t>
            </w:r>
            <w:r w:rsidRPr="005907EE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The course has a limited number of places. </w:t>
            </w:r>
            <w:hyperlink r:id="rId9" w:history="1">
              <w:r w:rsidRPr="005907EE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http://www.uib.no/en/matnat/53431/admission-courses-limited-capacity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]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lastRenderedPageBreak/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gje studentane den naudsynte teoretiske og </w:t>
            </w: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praktiske kunnskapen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som krevjast</w:t>
            </w: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å </w:t>
            </w: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nytte eit utval biofysiske metodar på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molekylærbiolgiske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system. Kurset vil gi ei forståing av det fysiske prinsippet bak teknikkane, og dessutan skildre deira tilhørande teknologien og applikasjonar. Dette er eit praktisk retta kurs, så eit viktig måk er å gje studenten praktisk trening gjennom demonstrasjonar, laboratorieøvingar og dataanalyser, samt å gje trening i å presentere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dataene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 form av rapportskriving.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546EE4" w:rsidRPr="00DC2000" w:rsidRDefault="00546EE4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vil fokusere på CW-domenet, eit protein-domen som er aktivt forska på ved Molekylærbiologisk Institutt og ved andre forskingsinstitusjonar. CW-domen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er ein del av et større enzym</w:t>
            </w: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bind til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histonar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føretek spesifikke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acetyleringar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og dette er derfor et viktig protein innan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epigenetiske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studie. Fire metodar vil bli bruk på proteinet. Termal stabilitet målt ved hjelp av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tryptofanfluorescence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Surface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Plasmon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Resonance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kvantifisering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bindingskinetikk og bindingskonstantar,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Isothermal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Calorimetry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kvantifisering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binding og løysing av termodynamiske parameter, samt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høyoppløselig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NMR for å spore dei spesifikke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aminosyrane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er involvert i binding av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liganden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546EE4" w:rsidRPr="00DC2000" w:rsidRDefault="00546EE4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proofErr w:type="spellStart"/>
            <w:r w:rsidRPr="00DC20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Objectives</w:t>
            </w:r>
            <w:proofErr w:type="spellEnd"/>
            <w:r w:rsidRPr="00DC20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: 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aims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provide students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adequate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theoretical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practical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knowledge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sufficient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variety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biophysical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methods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on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molecular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biology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systems. The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provide an understanding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physical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principles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underpinning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techniques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as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well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describing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their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technology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their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applications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As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this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a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practical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an important goal is to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give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students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practical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training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through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demonstrations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laboratory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exercises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data analyses, as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well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providing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training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presenting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data in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form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Content: 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focus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CW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domain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 protein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domain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which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actively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researched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Department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at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other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research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institutes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The CW-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domain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part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larger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enzyme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that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bind to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histones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and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performs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specific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acetylation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It is an important protein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within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epigenetic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studies. Four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applied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protein-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domain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Thermal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stability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monitored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tryptophan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fluorescence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Surface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Plasmon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Resonance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quantification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binding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kinetics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binding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constants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Isothermal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Calorimetry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quantitating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binding and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solving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thermodynamic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parameters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system, and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finally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high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resolution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NMR 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tracking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specific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amino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acids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involved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binding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ligand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Kunnskapar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 w:rsidRPr="00546EE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Strukturbiologien og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epigenetikken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trengs for å forstå systemet dei jobbar med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 som gjer CW domenet til eit attraktivt vitskapeleg studie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dei teoretiske grunnlage for ver av teknikkane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kva for informasjon ein kan få utifrå teknikkane, og kva som er deira styrker og svakheiter  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dei teknologiske prinsipp som ligg til grunn for kvar av teknikkane</w:t>
            </w:r>
          </w:p>
          <w:p w:rsidR="00546EE4" w:rsidRPr="00DC2000" w:rsidRDefault="00546EE4" w:rsidP="002D437C">
            <w:pPr>
              <w:widowControl/>
              <w:numPr>
                <w:ilvl w:val="0"/>
                <w:numId w:val="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HMS-krava som er relevante for dei praktiske øvingane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Ferdigheiter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kan…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handtere reagensane, instrumentane og programvaren godt nok til å løyse kvar av dei fire studentøvingane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presentere og drøfte resultat i form av rapportar og også munnleg i grupper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sette resultat frå enkeltøvingar i samanheng med kvarandre og med eksisterande litteratur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Generell kompetanse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har evne til å…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5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designe og utføre eksperimenter innan dei fire metodane kurset tar opp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5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skrive rapportar som held ein god vitskapeleg standard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5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evne å kombinere metodar i prosjektdesign og tolking av resultat, slik at breiare konklusjonar kan nås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On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completion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should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following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learning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outcomes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defined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in terms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knowledge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skills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 xml:space="preserve"> and general </w:t>
            </w:r>
            <w:proofErr w:type="spellStart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competence</w:t>
            </w:r>
            <w:proofErr w:type="spellEnd"/>
            <w:r w:rsidRPr="00DC200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  <w:t>: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Knowledge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The </w:t>
            </w:r>
            <w:r w:rsidRPr="00546EE4">
              <w:rPr>
                <w:rFonts w:cs="Calibri"/>
                <w:sz w:val="20"/>
                <w:szCs w:val="20"/>
                <w:lang w:val="nn-NO"/>
              </w:rPr>
              <w:t xml:space="preserve">student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/>
              </w:rPr>
              <w:t>can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/>
              </w:rPr>
              <w:t>explain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/>
              </w:rPr>
              <w:t xml:space="preserve"> 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structural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biology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epigenetics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needed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to understand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system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working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with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makes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CW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domain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attractive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scientific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study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theoretical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foundation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technique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information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one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can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get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from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technique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their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strengths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limitations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are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technological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principle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underpins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techniques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HSE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requirements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relevant to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practical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parts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exercises</w:t>
            </w:r>
            <w:proofErr w:type="spellEnd"/>
          </w:p>
          <w:p w:rsidR="00546EE4" w:rsidRPr="00DC2000" w:rsidRDefault="00546EE4" w:rsidP="002D437C">
            <w:pPr>
              <w:widowControl/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Skills</w:t>
            </w:r>
            <w:proofErr w:type="spellEnd"/>
          </w:p>
          <w:p w:rsidR="00546EE4" w:rsidRPr="00DC2000" w:rsidRDefault="00546EE4" w:rsidP="002D437C">
            <w:pPr>
              <w:widowControl/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The students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can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...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handle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reagents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instruments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software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well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enough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solve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four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exercises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present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discuss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results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form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also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orally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groups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put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results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from individual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exercises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into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context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with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other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with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existing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literature</w:t>
            </w:r>
            <w:proofErr w:type="spellEnd"/>
          </w:p>
          <w:p w:rsidR="00546EE4" w:rsidRPr="00DC2000" w:rsidRDefault="00546EE4" w:rsidP="002D437C">
            <w:pPr>
              <w:widowControl/>
              <w:spacing w:after="200"/>
              <w:ind w:left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General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competence</w:t>
            </w:r>
            <w:proofErr w:type="spellEnd"/>
          </w:p>
          <w:p w:rsidR="00546EE4" w:rsidRPr="00DC2000" w:rsidRDefault="00546EE4" w:rsidP="002D437C">
            <w:pPr>
              <w:widowControl/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The student is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able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to…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design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conduct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experiments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within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four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methods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taught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course</w:t>
            </w:r>
            <w:proofErr w:type="spellEnd"/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write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holding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 a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good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scientific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standard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7"/>
              </w:numPr>
              <w:spacing w:after="200"/>
              <w:ind w:left="357" w:hanging="357"/>
              <w:contextualSpacing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lastRenderedPageBreak/>
              <w:t>combine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methods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project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design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interpretation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results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so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that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broader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conclusions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can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reached</w:t>
            </w:r>
            <w:proofErr w:type="spellEnd"/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546EE4" w:rsidRDefault="00546EE4" w:rsidP="002D437C">
            <w:pPr>
              <w:spacing w:after="0" w:line="268" w:lineRule="exact"/>
              <w:ind w:right="-20"/>
              <w:rPr>
                <w:sz w:val="20"/>
                <w:szCs w:val="20"/>
                <w:lang w:val="nn-NO"/>
              </w:rPr>
            </w:pPr>
            <w:r w:rsidRPr="00546EE4">
              <w:rPr>
                <w:sz w:val="20"/>
                <w:szCs w:val="20"/>
                <w:lang w:val="nn-NO"/>
              </w:rPr>
              <w:t>MOL100, KJEM130, MOL202 eller MOL221 og MOL222 eller tilsvarande.</w:t>
            </w:r>
          </w:p>
          <w:p w:rsidR="00546EE4" w:rsidRPr="00DC2000" w:rsidRDefault="00546EE4" w:rsidP="002D437C">
            <w:pPr>
              <w:spacing w:after="0" w:line="268" w:lineRule="exact"/>
              <w:ind w:right="-20"/>
              <w:rPr>
                <w:lang w:val="nn-NO"/>
              </w:rPr>
            </w:pPr>
          </w:p>
          <w:p w:rsidR="00546EE4" w:rsidRPr="00DC2000" w:rsidRDefault="00546EE4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MOL100, KJEM130, MOL202 or MOL221 og MOL222 or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equivalent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.</w:t>
            </w:r>
          </w:p>
        </w:tc>
      </w:tr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MOL310 (MOL310 kan bli tatt parallelt). </w:t>
            </w:r>
          </w:p>
          <w:p w:rsidR="00546EE4" w:rsidRPr="00DC2000" w:rsidRDefault="00546EE4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MOL310 (MOL310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may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followed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parallel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</w:t>
            </w:r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.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546EE4" w:rsidRPr="00D13CD7" w:rsidRDefault="00546EE4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546EE4" w:rsidRPr="00D13CD7" w:rsidRDefault="00546EE4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546EE4" w:rsidRPr="00D13CD7" w:rsidRDefault="00546EE4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546EE4" w:rsidRPr="00D13CD7" w:rsidRDefault="00546EE4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10" w:history="1">
              <w:r w:rsidRPr="00DC2000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[Access to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requires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admission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a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master’s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programme at The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Faculty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Mathematics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Natural Sciences] </w:t>
            </w: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pacing w:val="1"/>
                <w:sz w:val="20"/>
                <w:szCs w:val="20"/>
                <w:lang w:val="nn-NO"/>
              </w:rPr>
            </w:pPr>
          </w:p>
        </w:tc>
      </w:tr>
      <w:tr w:rsidR="00546EE4" w:rsidRPr="004415B3" w:rsidTr="00546EE4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cs="Calibri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sz w:val="20"/>
                <w:szCs w:val="20"/>
                <w:lang w:val="nn-NO"/>
              </w:rPr>
              <w:t>Undervisningen</w:t>
            </w:r>
            <w:proofErr w:type="spellEnd"/>
            <w:r w:rsidRPr="00DC2000">
              <w:rPr>
                <w:rFonts w:cs="Calibri"/>
                <w:sz w:val="20"/>
                <w:szCs w:val="20"/>
                <w:lang w:val="nn-NO"/>
              </w:rPr>
              <w:t xml:space="preserve"> gis i form av...  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8"/>
              </w:numPr>
              <w:spacing w:after="200"/>
              <w:contextualSpacing/>
              <w:rPr>
                <w:rFonts w:cs="Calibri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sz w:val="20"/>
                <w:szCs w:val="20"/>
                <w:lang w:val="nn-NO"/>
              </w:rPr>
              <w:t xml:space="preserve">førelesningar (2-4 timer per uke, 4 </w:t>
            </w:r>
            <w:proofErr w:type="spellStart"/>
            <w:r w:rsidRPr="00DC2000">
              <w:rPr>
                <w:rFonts w:cs="Calibri"/>
                <w:sz w:val="20"/>
                <w:szCs w:val="20"/>
                <w:lang w:val="nn-NO"/>
              </w:rPr>
              <w:t>uker</w:t>
            </w:r>
            <w:proofErr w:type="spellEnd"/>
            <w:r w:rsidRPr="00DC2000">
              <w:rPr>
                <w:rFonts w:cs="Calibri"/>
                <w:sz w:val="20"/>
                <w:szCs w:val="20"/>
                <w:lang w:val="nn-NO"/>
              </w:rPr>
              <w:t>)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8"/>
              </w:numPr>
              <w:spacing w:after="200"/>
              <w:contextualSpacing/>
              <w:rPr>
                <w:rFonts w:cs="Calibri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sz w:val="20"/>
                <w:szCs w:val="20"/>
                <w:lang w:val="nn-NO"/>
              </w:rPr>
              <w:t>laboratorieøvingar og dataøving</w:t>
            </w:r>
            <w:r>
              <w:rPr>
                <w:rFonts w:cs="Calibri"/>
                <w:sz w:val="20"/>
                <w:szCs w:val="20"/>
                <w:lang w:val="nn-NO"/>
              </w:rPr>
              <w:t>a</w:t>
            </w:r>
            <w:r w:rsidRPr="00DC2000">
              <w:rPr>
                <w:rFonts w:cs="Calibri"/>
                <w:sz w:val="20"/>
                <w:szCs w:val="20"/>
                <w:lang w:val="nn-NO"/>
              </w:rPr>
              <w:t xml:space="preserve">r (12-20 timer per uke, 4 </w:t>
            </w:r>
            <w:r>
              <w:rPr>
                <w:rFonts w:cs="Calibri"/>
                <w:sz w:val="20"/>
                <w:szCs w:val="20"/>
                <w:lang w:val="nn-NO"/>
              </w:rPr>
              <w:t>veker</w:t>
            </w:r>
            <w:r w:rsidRPr="00DC2000">
              <w:rPr>
                <w:rFonts w:cs="Calibri"/>
                <w:sz w:val="20"/>
                <w:szCs w:val="20"/>
                <w:lang w:val="nn-NO"/>
              </w:rPr>
              <w:t xml:space="preserve">) 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8"/>
              </w:numPr>
              <w:spacing w:after="200"/>
              <w:contextualSpacing/>
              <w:rPr>
                <w:rFonts w:cs="Calibri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sz w:val="20"/>
                <w:szCs w:val="20"/>
                <w:lang w:val="nn-NO"/>
              </w:rPr>
              <w:t>workshops</w:t>
            </w:r>
            <w:proofErr w:type="spellEnd"/>
            <w:r w:rsidRPr="00DC2000">
              <w:rPr>
                <w:rFonts w:cs="Calibri"/>
                <w:sz w:val="20"/>
                <w:szCs w:val="20"/>
                <w:lang w:val="nn-NO"/>
              </w:rPr>
              <w:t>, demonstrasjoner og opne diskusjonar, der dette er formålstenleg (12-16 timer totalt i løpet av kurset)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8"/>
              </w:numPr>
              <w:spacing w:after="200"/>
              <w:contextualSpacing/>
              <w:rPr>
                <w:rFonts w:cs="Calibri"/>
                <w:sz w:val="20"/>
                <w:szCs w:val="20"/>
                <w:lang w:val="nn-NO"/>
              </w:rPr>
            </w:pPr>
            <w:r w:rsidRPr="00DC2000">
              <w:rPr>
                <w:rFonts w:cs="Calibri"/>
                <w:sz w:val="20"/>
                <w:szCs w:val="20"/>
                <w:lang w:val="nn-NO"/>
              </w:rPr>
              <w:t>laboratorierapporter og skriftlig tilbakemelding på disse (4 rapporter må leveras som en obligatorisk del av kurset)</w:t>
            </w:r>
          </w:p>
          <w:p w:rsidR="00546EE4" w:rsidRPr="00DC2000" w:rsidRDefault="00546EE4" w:rsidP="002D437C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Teaching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provided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form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…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9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lastRenderedPageBreak/>
              <w:t>lectures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(2-4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hrs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per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week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4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weeks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)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9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laboratory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exercises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computer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exercises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(12-20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hrs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per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week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4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weeks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)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9"/>
              </w:numPr>
              <w:spacing w:after="200"/>
              <w:contextualSpacing/>
              <w:rPr>
                <w:rFonts w:cs="Calibri"/>
                <w:color w:val="1F497D" w:themeColor="text2"/>
                <w:sz w:val="20"/>
                <w:szCs w:val="20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workshops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demonstrations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open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discussion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where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this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fits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needs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(12-16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hrs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total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across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)</w:t>
            </w:r>
          </w:p>
          <w:p w:rsidR="00546EE4" w:rsidRPr="00DC2000" w:rsidRDefault="00546EE4" w:rsidP="00546EE4">
            <w:pPr>
              <w:widowControl/>
              <w:numPr>
                <w:ilvl w:val="0"/>
                <w:numId w:val="19"/>
              </w:numPr>
              <w:spacing w:after="200"/>
              <w:contextualSpacing/>
              <w:rPr>
                <w:color w:val="1F497D" w:themeColor="text2"/>
                <w:lang w:val="nn-NO"/>
              </w:rPr>
            </w:pP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laboratory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written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feedback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on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each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these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(4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has to be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submitted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as a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compulsory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part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cs="Calibri"/>
                <w:color w:val="1F497D" w:themeColor="text2"/>
                <w:sz w:val="20"/>
                <w:szCs w:val="20"/>
                <w:lang w:val="nn-NO"/>
              </w:rPr>
              <w:t>)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4415B3" w:rsidTr="00546EE4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Obligatorisk undervisningsaktivitet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Laboratorierapportene er obligatorisk og må godkjennas av kursleder. En godkjenning er gyldig i to påfølgande semester.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laboratory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must be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submitted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leader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approved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This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approval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valid for 2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subsequent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semesters.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Laboratorierapporter (30%) 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Digital skriftleg eksamen, 4 timar (70%).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eksaminasjon vil bli vurder dersom det er mindre enn 4 studentar på emnet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[The forms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assessment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are: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Laboratory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(30%)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Digital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examination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(4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hours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), 70%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546EE4" w:rsidRPr="00DC2000" w:rsidRDefault="00546EE4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Oral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examination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considered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if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less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than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4 students are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taking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546EE4" w:rsidRPr="005474E7" w:rsidTr="00546EE4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Enkel kalkulator tillat, i samsvar med modeller angitt i fakultetets regler  </w:t>
            </w: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Non-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programmable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calculator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, in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accordance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with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faculty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regulations</w:t>
            </w:r>
            <w:proofErr w:type="spellEnd"/>
            <w:r w:rsidRPr="00DC2000">
              <w:rPr>
                <w:rStyle w:val="Sterk"/>
                <w:rFonts w:asciiTheme="minorHAnsi" w:hAnsiTheme="minorHAnsi" w:cstheme="minorHAnsi"/>
                <w:b w:val="0"/>
                <w:bCs w:val="0"/>
                <w:sz w:val="20"/>
                <w:szCs w:val="20"/>
                <w:lang w:val="nn-NO"/>
              </w:rPr>
              <w:t>]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 xml:space="preserve">Karakterskala 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vert karakterskalaen A-F nytta.  [</w:t>
            </w:r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used is A to F. Grade A is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highest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passing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grade in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, grade F is a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.]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Both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assignment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must be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passed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individually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to pass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46EE4" w:rsidRPr="00431AB6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546EE4" w:rsidRPr="003C032B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546EE4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6EE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546EE4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6EE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546EE4" w:rsidRPr="00546EE4" w:rsidRDefault="00546EE4" w:rsidP="002D437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nn-NO" w:eastAsia="nb-NO"/>
              </w:rPr>
            </w:pPr>
            <w:r w:rsidRPr="00546EE4">
              <w:rPr>
                <w:rFonts w:cs="Calibri"/>
                <w:sz w:val="20"/>
                <w:szCs w:val="20"/>
                <w:lang w:val="nn-NO" w:eastAsia="nb-NO"/>
              </w:rPr>
              <w:t>[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both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spring semester and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autumn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semester. In semesters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without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teaching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will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be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arranged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at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beginning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of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46EE4">
              <w:rPr>
                <w:rFonts w:cs="Calibri"/>
                <w:sz w:val="20"/>
                <w:szCs w:val="20"/>
                <w:lang w:val="nn-NO" w:eastAsia="nb-NO"/>
              </w:rPr>
              <w:t xml:space="preserve"> semester.]</w:t>
            </w:r>
          </w:p>
        </w:tc>
      </w:tr>
      <w:tr w:rsidR="00546EE4" w:rsidRPr="004415B3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lang w:val="nn-NO"/>
              </w:rPr>
              <w:t>[</w:t>
            </w:r>
            <w:r w:rsidRPr="00DC2000"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reading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list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available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within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June 1st for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autumn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semester and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January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1st for </w:t>
            </w:r>
            <w:proofErr w:type="spellStart"/>
            <w:r w:rsidRPr="00DC2000">
              <w:rPr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i/>
                <w:sz w:val="20"/>
                <w:szCs w:val="20"/>
                <w:lang w:val="nn-NO"/>
              </w:rPr>
              <w:t xml:space="preserve"> spring semester]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E33BA5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C2000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[The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evaluated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students in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accordance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quality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assurance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 at UiB and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department</w:t>
            </w:r>
            <w:proofErr w:type="spellEnd"/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]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546EE4" w:rsidRPr="00622176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546EE4" w:rsidRPr="00DC2000" w:rsidRDefault="00546EE4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The Programme Committee is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responsible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content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structure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quality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of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study programme and </w:t>
            </w:r>
            <w:proofErr w:type="spellStart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courses</w:t>
            </w:r>
            <w:proofErr w:type="spellEnd"/>
            <w:r w:rsidRPr="00DC2000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. </w:t>
            </w:r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546EE4" w:rsidRPr="00D13CD7" w:rsidRDefault="00546EE4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1" w:history="1">
              <w:r w:rsidRPr="00DC2000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[advice@mbi.uib.no]</w:t>
            </w:r>
          </w:p>
        </w:tc>
      </w:tr>
      <w:tr w:rsidR="00546EE4" w:rsidRPr="00A76CAD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lastRenderedPageBreak/>
              <w:t>Administrativt ansvarleg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546EE4" w:rsidRPr="00B3115F" w:rsidTr="00546EE4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46EE4" w:rsidRPr="00D13CD7" w:rsidRDefault="00546EE4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13CD7" w:rsidRDefault="00546EE4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546EE4" w:rsidRPr="00DC2000" w:rsidRDefault="00546EE4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C200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2" w:history="1">
              <w:r w:rsidRPr="00DC2000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546EE4" w:rsidRPr="00DC2000" w:rsidRDefault="00546EE4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:rsidR="00546EE4" w:rsidRPr="00DC2000" w:rsidRDefault="003F6242" w:rsidP="00546EE4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lastRenderedPageBreak/>
        <w:t xml:space="preserve">Emnebeskriving for </w:t>
      </w:r>
      <w:r w:rsidR="00546EE4">
        <w:rPr>
          <w:rFonts w:asciiTheme="minorHAnsi" w:hAnsiTheme="minorHAnsi" w:cstheme="minorHAnsi"/>
          <w:sz w:val="32"/>
          <w:szCs w:val="32"/>
          <w:lang w:val="nn-NO"/>
        </w:rPr>
        <w:tab/>
      </w:r>
      <w:r w:rsidR="00546EE4" w:rsidRPr="00DC2000">
        <w:rPr>
          <w:rFonts w:asciiTheme="minorHAnsi" w:hAnsiTheme="minorHAnsi" w:cstheme="minorHAnsi"/>
          <w:sz w:val="32"/>
          <w:szCs w:val="32"/>
          <w:lang w:val="nn-NO"/>
        </w:rPr>
        <w:t>MOL320 Biofysiske metodar for molekylærbiologar</w:t>
      </w:r>
    </w:p>
    <w:p w:rsidR="00546EE4" w:rsidRPr="00DC2000" w:rsidRDefault="00546EE4" w:rsidP="00546EE4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DC2000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i/>
          <w:sz w:val="32"/>
          <w:szCs w:val="32"/>
          <w:lang w:val="nn-NO"/>
        </w:rPr>
        <w:tab/>
        <w:t xml:space="preserve">MOL320 </w:t>
      </w:r>
      <w:r w:rsidRPr="00DC2000">
        <w:rPr>
          <w:rFonts w:asciiTheme="minorHAnsi" w:hAnsiTheme="minorHAnsi" w:cstheme="minorHAnsi"/>
          <w:sz w:val="32"/>
          <w:szCs w:val="32"/>
          <w:lang w:val="nn-NO"/>
        </w:rPr>
        <w:t xml:space="preserve">Biofysiske </w:t>
      </w:r>
      <w:proofErr w:type="spellStart"/>
      <w:r w:rsidRPr="00DC2000">
        <w:rPr>
          <w:rFonts w:asciiTheme="minorHAnsi" w:hAnsiTheme="minorHAnsi" w:cstheme="minorHAnsi"/>
          <w:sz w:val="32"/>
          <w:szCs w:val="32"/>
          <w:lang w:val="nn-NO"/>
        </w:rPr>
        <w:t>metoder</w:t>
      </w:r>
      <w:proofErr w:type="spellEnd"/>
      <w:r w:rsidRPr="00DC2000">
        <w:rPr>
          <w:rFonts w:asciiTheme="minorHAnsi" w:hAnsiTheme="minorHAnsi" w:cstheme="minorHAnsi"/>
          <w:sz w:val="32"/>
          <w:szCs w:val="32"/>
          <w:lang w:val="nn-NO"/>
        </w:rPr>
        <w:t xml:space="preserve"> for molekylærbiologer</w:t>
      </w:r>
    </w:p>
    <w:p w:rsidR="00546EE4" w:rsidRPr="00DC2000" w:rsidRDefault="00546EE4" w:rsidP="00546EE4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DC2000"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DC2000">
        <w:rPr>
          <w:rFonts w:asciiTheme="minorHAnsi" w:hAnsiTheme="minorHAnsi" w:cstheme="minorHAnsi"/>
          <w:sz w:val="32"/>
          <w:szCs w:val="32"/>
          <w:lang w:val="nn-NO"/>
        </w:rPr>
        <w:tab/>
        <w:t xml:space="preserve">MOL320 </w:t>
      </w:r>
      <w:proofErr w:type="spellStart"/>
      <w:r w:rsidRPr="00DC2000">
        <w:rPr>
          <w:rFonts w:asciiTheme="minorHAnsi" w:hAnsiTheme="minorHAnsi" w:cstheme="minorHAnsi"/>
          <w:sz w:val="32"/>
          <w:szCs w:val="32"/>
          <w:lang w:val="nn-NO"/>
        </w:rPr>
        <w:t>Biophysical</w:t>
      </w:r>
      <w:proofErr w:type="spellEnd"/>
      <w:r w:rsidRPr="00DC2000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Pr="00DC2000">
        <w:rPr>
          <w:rFonts w:asciiTheme="minorHAnsi" w:hAnsiTheme="minorHAnsi" w:cstheme="minorHAnsi"/>
          <w:sz w:val="32"/>
          <w:szCs w:val="32"/>
          <w:lang w:val="nn-NO"/>
        </w:rPr>
        <w:t>methods</w:t>
      </w:r>
      <w:proofErr w:type="spellEnd"/>
      <w:r w:rsidRPr="00DC2000">
        <w:rPr>
          <w:rFonts w:asciiTheme="minorHAnsi" w:hAnsiTheme="minorHAnsi" w:cstheme="minorHAnsi"/>
          <w:sz w:val="32"/>
          <w:szCs w:val="32"/>
          <w:lang w:val="nn-NO"/>
        </w:rPr>
        <w:t xml:space="preserve"> for </w:t>
      </w:r>
      <w:proofErr w:type="spellStart"/>
      <w:r w:rsidRPr="00DC2000">
        <w:rPr>
          <w:rFonts w:asciiTheme="minorHAnsi" w:hAnsiTheme="minorHAnsi" w:cstheme="minorHAnsi"/>
          <w:sz w:val="32"/>
          <w:szCs w:val="32"/>
          <w:lang w:val="nn-NO"/>
        </w:rPr>
        <w:t>molecular</w:t>
      </w:r>
      <w:proofErr w:type="spellEnd"/>
      <w:r w:rsidRPr="00DC2000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Pr="00DC2000">
        <w:rPr>
          <w:rFonts w:asciiTheme="minorHAnsi" w:hAnsiTheme="minorHAnsi" w:cstheme="minorHAnsi"/>
          <w:sz w:val="32"/>
          <w:szCs w:val="32"/>
          <w:lang w:val="nn-NO"/>
        </w:rPr>
        <w:t>biologists</w:t>
      </w:r>
      <w:proofErr w:type="spellEnd"/>
    </w:p>
    <w:p w:rsidR="003F6242" w:rsidRPr="00A76CAD" w:rsidRDefault="003F6242" w:rsidP="00546EE4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546EE4">
      <w:rPr>
        <w:lang w:val="nb-NO"/>
      </w:rPr>
      <w:t>MOL320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9F"/>
    <w:multiLevelType w:val="hybridMultilevel"/>
    <w:tmpl w:val="A0708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AE3E03"/>
    <w:multiLevelType w:val="hybridMultilevel"/>
    <w:tmpl w:val="983E0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4B58"/>
    <w:multiLevelType w:val="hybridMultilevel"/>
    <w:tmpl w:val="0C8A5B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7832"/>
    <w:multiLevelType w:val="hybridMultilevel"/>
    <w:tmpl w:val="C8260D7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03E561E"/>
    <w:multiLevelType w:val="hybridMultilevel"/>
    <w:tmpl w:val="E5127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8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6EE4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rettleiar@mbi.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matnat/52646/opptak-ved-mn-fakulte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en/matnat/53431/admission-courses-limited-capac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C120-BE76-4CF5-920F-4A8B1B9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A8CE150D.dotm</Template>
  <TotalTime>0</TotalTime>
  <Pages>9</Pages>
  <Words>1493</Words>
  <Characters>9832</Characters>
  <Application>Microsoft Office Word</Application>
  <DocSecurity>4</DocSecurity>
  <Lines>81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2</cp:revision>
  <cp:lastPrinted>2014-11-06T13:45:00Z</cp:lastPrinted>
  <dcterms:created xsi:type="dcterms:W3CDTF">2017-01-31T16:49:00Z</dcterms:created>
  <dcterms:modified xsi:type="dcterms:W3CDTF">2017-01-31T16:49:00Z</dcterms:modified>
</cp:coreProperties>
</file>