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D6A6" w14:textId="7DD3C86D" w:rsidR="00492001" w:rsidRPr="005A7830" w:rsidRDefault="15254770" w:rsidP="220C185C">
      <w:pPr>
        <w:rPr>
          <w:rFonts w:eastAsia="Arial"/>
          <w:b/>
          <w:bCs/>
          <w:sz w:val="36"/>
          <w:szCs w:val="36"/>
          <w:lang w:val="nb-NO"/>
        </w:rPr>
      </w:pPr>
      <w:r w:rsidRPr="220C185C">
        <w:rPr>
          <w:rFonts w:eastAsia="Arial"/>
          <w:b/>
          <w:bCs/>
          <w:sz w:val="36"/>
          <w:szCs w:val="36"/>
          <w:lang w:val="nb-NO"/>
        </w:rPr>
        <w:t>Veiledning til</w:t>
      </w:r>
      <w:r w:rsidR="00492001" w:rsidRPr="220C185C">
        <w:rPr>
          <w:rFonts w:eastAsia="Arial"/>
          <w:b/>
          <w:bCs/>
          <w:sz w:val="36"/>
          <w:szCs w:val="36"/>
          <w:lang w:val="nb-NO"/>
        </w:rPr>
        <w:t xml:space="preserve"> programevaluering</w:t>
      </w:r>
      <w:r w:rsidR="1803AAD2" w:rsidRPr="220C185C">
        <w:rPr>
          <w:rFonts w:eastAsia="Arial"/>
          <w:b/>
          <w:bCs/>
          <w:sz w:val="36"/>
          <w:szCs w:val="36"/>
          <w:lang w:val="nb-NO"/>
        </w:rPr>
        <w:t>er</w:t>
      </w:r>
    </w:p>
    <w:p w14:paraId="6EAD568E" w14:textId="5F2BE8DB" w:rsidR="5B60A332" w:rsidRDefault="5B60A332" w:rsidP="5C4C4A36">
      <w:pPr>
        <w:rPr>
          <w:b/>
          <w:bCs/>
          <w:i/>
          <w:iCs/>
          <w:lang w:val="nb-NO"/>
        </w:rPr>
      </w:pPr>
      <w:r w:rsidRPr="5C4C4A36">
        <w:rPr>
          <w:b/>
          <w:bCs/>
          <w:i/>
          <w:iCs/>
          <w:lang w:val="nb-NO"/>
        </w:rPr>
        <w:t>Veiledningen</w:t>
      </w:r>
      <w:r w:rsidR="7EB1AF98" w:rsidRPr="5C4C4A36">
        <w:rPr>
          <w:b/>
          <w:bCs/>
          <w:i/>
          <w:iCs/>
          <w:lang w:val="nb-NO"/>
        </w:rPr>
        <w:t xml:space="preserve"> </w:t>
      </w:r>
      <w:r w:rsidR="441F3572" w:rsidRPr="5C4C4A36">
        <w:rPr>
          <w:b/>
          <w:bCs/>
          <w:i/>
          <w:iCs/>
          <w:lang w:val="nb-NO"/>
        </w:rPr>
        <w:t>inneholder</w:t>
      </w:r>
      <w:r w:rsidR="7EB1AF98" w:rsidRPr="5C4C4A36">
        <w:rPr>
          <w:b/>
          <w:bCs/>
          <w:i/>
          <w:iCs/>
          <w:lang w:val="nb-NO"/>
        </w:rPr>
        <w:t xml:space="preserve"> samme spørsmål som mal for programevaluering, </w:t>
      </w:r>
      <w:r w:rsidR="56D01FE6" w:rsidRPr="5C4C4A36">
        <w:rPr>
          <w:b/>
          <w:bCs/>
          <w:i/>
          <w:iCs/>
          <w:lang w:val="nb-NO"/>
        </w:rPr>
        <w:t>men</w:t>
      </w:r>
      <w:r w:rsidR="7EB1AF98" w:rsidRPr="5C4C4A36">
        <w:rPr>
          <w:b/>
          <w:bCs/>
          <w:i/>
          <w:iCs/>
          <w:lang w:val="nb-NO"/>
        </w:rPr>
        <w:t xml:space="preserve"> viser også NOKUT sin veiledningstekst for institusjoner som søker til NOKUT om å opprette studieprogram</w:t>
      </w:r>
      <w:r w:rsidR="1C8427C9" w:rsidRPr="5C4C4A36">
        <w:rPr>
          <w:b/>
          <w:bCs/>
          <w:i/>
          <w:iCs/>
          <w:lang w:val="nb-NO"/>
        </w:rPr>
        <w:t xml:space="preserve">, </w:t>
      </w:r>
      <w:hyperlink r:id="rId9">
        <w:r w:rsidR="1C8427C9" w:rsidRPr="5C4C4A36">
          <w:rPr>
            <w:rStyle w:val="Hyperlink"/>
            <w:b/>
            <w:bCs/>
            <w:i/>
            <w:iCs/>
            <w:lang w:val="nb-NO"/>
          </w:rPr>
          <w:t>NOKUTs veiledning om akkreditering av studietilbud.</w:t>
        </w:r>
      </w:hyperlink>
      <w:r w:rsidR="1C8427C9" w:rsidRPr="5C4C4A36">
        <w:rPr>
          <w:b/>
          <w:bCs/>
          <w:i/>
          <w:iCs/>
          <w:lang w:val="nb-NO"/>
        </w:rPr>
        <w:t xml:space="preserve"> </w:t>
      </w:r>
      <w:r w:rsidR="7EB1AF98" w:rsidRPr="5C4C4A36">
        <w:rPr>
          <w:b/>
          <w:bCs/>
          <w:i/>
          <w:iCs/>
          <w:lang w:val="nb-NO"/>
        </w:rPr>
        <w:t>Disse tekstene</w:t>
      </w:r>
      <w:r w:rsidR="340694B8" w:rsidRPr="5C4C4A36">
        <w:rPr>
          <w:b/>
          <w:bCs/>
          <w:i/>
          <w:iCs/>
          <w:lang w:val="nb-NO"/>
        </w:rPr>
        <w:t xml:space="preserve"> kan fortelle noe om bakgrunnen for punktene i Studietilsynsforskrifte</w:t>
      </w:r>
      <w:r w:rsidR="47C313E0" w:rsidRPr="5C4C4A36">
        <w:rPr>
          <w:b/>
          <w:bCs/>
          <w:i/>
          <w:iCs/>
          <w:lang w:val="nb-NO"/>
        </w:rPr>
        <w:t>n</w:t>
      </w:r>
      <w:r w:rsidR="340694B8" w:rsidRPr="5C4C4A36">
        <w:rPr>
          <w:b/>
          <w:bCs/>
          <w:i/>
          <w:iCs/>
          <w:lang w:val="nb-NO"/>
        </w:rPr>
        <w:t xml:space="preserve">, men en programevaluering vil ikke </w:t>
      </w:r>
      <w:r w:rsidR="18658680" w:rsidRPr="5C4C4A36">
        <w:rPr>
          <w:b/>
          <w:bCs/>
          <w:i/>
          <w:iCs/>
          <w:lang w:val="nb-NO"/>
        </w:rPr>
        <w:t>være like omfattende</w:t>
      </w:r>
      <w:r w:rsidR="07BCDB09" w:rsidRPr="5C4C4A36">
        <w:rPr>
          <w:b/>
          <w:bCs/>
          <w:i/>
          <w:iCs/>
          <w:lang w:val="nb-NO"/>
        </w:rPr>
        <w:t xml:space="preserve"> som en søknad til NOKUT.</w:t>
      </w:r>
    </w:p>
    <w:p w14:paraId="394662DD" w14:textId="77777777" w:rsidR="00492001" w:rsidRPr="0061440E" w:rsidRDefault="00492001" w:rsidP="00492001">
      <w:pPr>
        <w:rPr>
          <w:lang w:val="nb-NO"/>
        </w:rPr>
      </w:pPr>
    </w:p>
    <w:sdt>
      <w:sdtPr>
        <w:rPr>
          <w:rFonts w:asciiTheme="minorHAnsi" w:eastAsiaTheme="minorHAnsi" w:hAnsiTheme="minorHAnsi" w:cstheme="minorBidi"/>
          <w:color w:val="auto"/>
          <w:sz w:val="22"/>
          <w:szCs w:val="22"/>
        </w:rPr>
        <w:id w:val="903960056"/>
        <w:docPartObj>
          <w:docPartGallery w:val="Table of Contents"/>
          <w:docPartUnique/>
        </w:docPartObj>
      </w:sdtPr>
      <w:sdtEndPr>
        <w:rPr>
          <w:b/>
          <w:bCs/>
          <w:noProof/>
        </w:rPr>
      </w:sdtEndPr>
      <w:sdtContent>
        <w:p w14:paraId="5C4B81DD" w14:textId="77777777" w:rsidR="00492001" w:rsidRDefault="00492001" w:rsidP="00492001">
          <w:pPr>
            <w:pStyle w:val="TOCHeading"/>
          </w:pPr>
          <w:r>
            <w:t>Innhold</w:t>
          </w:r>
        </w:p>
        <w:p w14:paraId="1021AE54" w14:textId="5F58B83A" w:rsidR="00D84159" w:rsidRDefault="00E23700">
          <w:pPr>
            <w:pStyle w:val="TOC1"/>
            <w:tabs>
              <w:tab w:val="right" w:leader="dot" w:pos="9350"/>
            </w:tabs>
            <w:rPr>
              <w:rFonts w:eastAsiaTheme="minorEastAsia"/>
              <w:noProof/>
              <w:lang w:val="nb-NO" w:eastAsia="nb-NO"/>
            </w:rPr>
          </w:pPr>
          <w:r>
            <w:fldChar w:fldCharType="begin"/>
          </w:r>
          <w:r w:rsidR="00492001">
            <w:instrText xml:space="preserve"> TOC \o "1-3" \h \z \u </w:instrText>
          </w:r>
          <w:r>
            <w:fldChar w:fldCharType="separate"/>
          </w:r>
          <w:hyperlink w:anchor="_Toc31113849" w:history="1">
            <w:r w:rsidR="00D84159" w:rsidRPr="00750924">
              <w:rPr>
                <w:rStyle w:val="Hyperlink"/>
                <w:noProof/>
                <w:lang w:val="nb-NO"/>
              </w:rPr>
              <w:t>Tilhørende forskrifter</w:t>
            </w:r>
            <w:r w:rsidR="00D84159">
              <w:rPr>
                <w:noProof/>
                <w:webHidden/>
              </w:rPr>
              <w:tab/>
            </w:r>
            <w:r w:rsidR="00D84159">
              <w:rPr>
                <w:noProof/>
                <w:webHidden/>
              </w:rPr>
              <w:fldChar w:fldCharType="begin"/>
            </w:r>
            <w:r w:rsidR="00D84159">
              <w:rPr>
                <w:noProof/>
                <w:webHidden/>
              </w:rPr>
              <w:instrText xml:space="preserve"> PAGEREF _Toc31113849 \h </w:instrText>
            </w:r>
            <w:r w:rsidR="00D84159">
              <w:rPr>
                <w:noProof/>
                <w:webHidden/>
              </w:rPr>
            </w:r>
            <w:r w:rsidR="00D84159">
              <w:rPr>
                <w:noProof/>
                <w:webHidden/>
              </w:rPr>
              <w:fldChar w:fldCharType="separate"/>
            </w:r>
            <w:r w:rsidR="00D84159">
              <w:rPr>
                <w:noProof/>
                <w:webHidden/>
              </w:rPr>
              <w:t>1</w:t>
            </w:r>
            <w:r w:rsidR="00D84159">
              <w:rPr>
                <w:noProof/>
                <w:webHidden/>
              </w:rPr>
              <w:fldChar w:fldCharType="end"/>
            </w:r>
          </w:hyperlink>
        </w:p>
        <w:p w14:paraId="7729853C" w14:textId="6BCEF74B" w:rsidR="00D84159" w:rsidRDefault="00EB709E">
          <w:pPr>
            <w:pStyle w:val="TOC2"/>
            <w:tabs>
              <w:tab w:val="right" w:leader="dot" w:pos="9350"/>
            </w:tabs>
            <w:rPr>
              <w:rFonts w:eastAsiaTheme="minorEastAsia"/>
              <w:noProof/>
              <w:lang w:val="nb-NO" w:eastAsia="nb-NO"/>
            </w:rPr>
          </w:pPr>
          <w:hyperlink w:anchor="_Toc31113850" w:history="1">
            <w:r w:rsidR="00D84159" w:rsidRPr="00750924">
              <w:rPr>
                <w:rStyle w:val="Hyperlink"/>
                <w:noProof/>
                <w:lang w:val="nb-NO"/>
              </w:rPr>
              <w:t>Studieplan</w:t>
            </w:r>
            <w:r w:rsidR="00D84159">
              <w:rPr>
                <w:noProof/>
                <w:webHidden/>
              </w:rPr>
              <w:tab/>
            </w:r>
            <w:r w:rsidR="00D84159">
              <w:rPr>
                <w:noProof/>
                <w:webHidden/>
              </w:rPr>
              <w:fldChar w:fldCharType="begin"/>
            </w:r>
            <w:r w:rsidR="00D84159">
              <w:rPr>
                <w:noProof/>
                <w:webHidden/>
              </w:rPr>
              <w:instrText xml:space="preserve"> PAGEREF _Toc31113850 \h </w:instrText>
            </w:r>
            <w:r w:rsidR="00D84159">
              <w:rPr>
                <w:noProof/>
                <w:webHidden/>
              </w:rPr>
            </w:r>
            <w:r w:rsidR="00D84159">
              <w:rPr>
                <w:noProof/>
                <w:webHidden/>
              </w:rPr>
              <w:fldChar w:fldCharType="separate"/>
            </w:r>
            <w:r w:rsidR="00D84159">
              <w:rPr>
                <w:noProof/>
                <w:webHidden/>
              </w:rPr>
              <w:t>2</w:t>
            </w:r>
            <w:r w:rsidR="00D84159">
              <w:rPr>
                <w:noProof/>
                <w:webHidden/>
              </w:rPr>
              <w:fldChar w:fldCharType="end"/>
            </w:r>
          </w:hyperlink>
        </w:p>
        <w:p w14:paraId="0EE93BE5" w14:textId="05CB2234" w:rsidR="00D84159" w:rsidRDefault="00EB709E">
          <w:pPr>
            <w:pStyle w:val="TOC2"/>
            <w:tabs>
              <w:tab w:val="right" w:leader="dot" w:pos="9350"/>
            </w:tabs>
            <w:rPr>
              <w:rFonts w:eastAsiaTheme="minorEastAsia"/>
              <w:noProof/>
              <w:lang w:val="nb-NO" w:eastAsia="nb-NO"/>
            </w:rPr>
          </w:pPr>
          <w:hyperlink w:anchor="_Toc31113851" w:history="1">
            <w:r w:rsidR="00D84159" w:rsidRPr="00750924">
              <w:rPr>
                <w:rStyle w:val="Hyperlink"/>
                <w:noProof/>
                <w:lang w:val="nb-NO"/>
              </w:rPr>
              <w:t>Nivå på læringsutbyttet</w:t>
            </w:r>
            <w:r w:rsidR="00D84159">
              <w:rPr>
                <w:noProof/>
                <w:webHidden/>
              </w:rPr>
              <w:tab/>
            </w:r>
            <w:r w:rsidR="00D84159">
              <w:rPr>
                <w:noProof/>
                <w:webHidden/>
              </w:rPr>
              <w:fldChar w:fldCharType="begin"/>
            </w:r>
            <w:r w:rsidR="00D84159">
              <w:rPr>
                <w:noProof/>
                <w:webHidden/>
              </w:rPr>
              <w:instrText xml:space="preserve"> PAGEREF _Toc31113851 \h </w:instrText>
            </w:r>
            <w:r w:rsidR="00D84159">
              <w:rPr>
                <w:noProof/>
                <w:webHidden/>
              </w:rPr>
            </w:r>
            <w:r w:rsidR="00D84159">
              <w:rPr>
                <w:noProof/>
                <w:webHidden/>
              </w:rPr>
              <w:fldChar w:fldCharType="separate"/>
            </w:r>
            <w:r w:rsidR="00D84159">
              <w:rPr>
                <w:noProof/>
                <w:webHidden/>
              </w:rPr>
              <w:t>2</w:t>
            </w:r>
            <w:r w:rsidR="00D84159">
              <w:rPr>
                <w:noProof/>
                <w:webHidden/>
              </w:rPr>
              <w:fldChar w:fldCharType="end"/>
            </w:r>
          </w:hyperlink>
        </w:p>
        <w:p w14:paraId="24AB85A7" w14:textId="67DA93EB" w:rsidR="00D84159" w:rsidRDefault="00EB709E">
          <w:pPr>
            <w:pStyle w:val="TOC2"/>
            <w:tabs>
              <w:tab w:val="right" w:leader="dot" w:pos="9350"/>
            </w:tabs>
            <w:rPr>
              <w:rFonts w:eastAsiaTheme="minorEastAsia"/>
              <w:noProof/>
              <w:lang w:val="nb-NO" w:eastAsia="nb-NO"/>
            </w:rPr>
          </w:pPr>
          <w:hyperlink w:anchor="_Toc31113852" w:history="1">
            <w:r w:rsidR="00D84159" w:rsidRPr="00750924">
              <w:rPr>
                <w:rStyle w:val="Hyperlink"/>
                <w:i/>
                <w:iCs/>
                <w:noProof/>
                <w:lang w:val="nb-NO"/>
              </w:rPr>
              <w:t>Læringsutbytte og infrastruktur</w:t>
            </w:r>
            <w:r w:rsidR="00D84159">
              <w:rPr>
                <w:noProof/>
                <w:webHidden/>
              </w:rPr>
              <w:tab/>
            </w:r>
            <w:r w:rsidR="00D84159">
              <w:rPr>
                <w:noProof/>
                <w:webHidden/>
              </w:rPr>
              <w:fldChar w:fldCharType="begin"/>
            </w:r>
            <w:r w:rsidR="00D84159">
              <w:rPr>
                <w:noProof/>
                <w:webHidden/>
              </w:rPr>
              <w:instrText xml:space="preserve"> PAGEREF _Toc31113852 \h </w:instrText>
            </w:r>
            <w:r w:rsidR="00D84159">
              <w:rPr>
                <w:noProof/>
                <w:webHidden/>
              </w:rPr>
            </w:r>
            <w:r w:rsidR="00D84159">
              <w:rPr>
                <w:noProof/>
                <w:webHidden/>
              </w:rPr>
              <w:fldChar w:fldCharType="separate"/>
            </w:r>
            <w:r w:rsidR="00D84159">
              <w:rPr>
                <w:noProof/>
                <w:webHidden/>
              </w:rPr>
              <w:t>3</w:t>
            </w:r>
            <w:r w:rsidR="00D84159">
              <w:rPr>
                <w:noProof/>
                <w:webHidden/>
              </w:rPr>
              <w:fldChar w:fldCharType="end"/>
            </w:r>
          </w:hyperlink>
        </w:p>
        <w:p w14:paraId="633319C1" w14:textId="08CDEC39" w:rsidR="00D84159" w:rsidRDefault="00EB709E">
          <w:pPr>
            <w:pStyle w:val="TOC2"/>
            <w:tabs>
              <w:tab w:val="right" w:leader="dot" w:pos="9350"/>
            </w:tabs>
            <w:rPr>
              <w:rFonts w:eastAsiaTheme="minorEastAsia"/>
              <w:noProof/>
              <w:lang w:val="nb-NO" w:eastAsia="nb-NO"/>
            </w:rPr>
          </w:pPr>
          <w:hyperlink w:anchor="_Toc31113853" w:history="1">
            <w:r w:rsidR="00D84159" w:rsidRPr="00750924">
              <w:rPr>
                <w:rStyle w:val="Hyperlink"/>
                <w:noProof/>
                <w:lang w:val="nb-NO"/>
              </w:rPr>
              <w:t>Undervisnings- og vurderingsformer</w:t>
            </w:r>
            <w:r w:rsidR="00D84159">
              <w:rPr>
                <w:noProof/>
                <w:webHidden/>
              </w:rPr>
              <w:tab/>
            </w:r>
            <w:r w:rsidR="00D84159">
              <w:rPr>
                <w:noProof/>
                <w:webHidden/>
              </w:rPr>
              <w:fldChar w:fldCharType="begin"/>
            </w:r>
            <w:r w:rsidR="00D84159">
              <w:rPr>
                <w:noProof/>
                <w:webHidden/>
              </w:rPr>
              <w:instrText xml:space="preserve"> PAGEREF _Toc31113853 \h </w:instrText>
            </w:r>
            <w:r w:rsidR="00D84159">
              <w:rPr>
                <w:noProof/>
                <w:webHidden/>
              </w:rPr>
            </w:r>
            <w:r w:rsidR="00D84159">
              <w:rPr>
                <w:noProof/>
                <w:webHidden/>
              </w:rPr>
              <w:fldChar w:fldCharType="separate"/>
            </w:r>
            <w:r w:rsidR="00D84159">
              <w:rPr>
                <w:noProof/>
                <w:webHidden/>
              </w:rPr>
              <w:t>4</w:t>
            </w:r>
            <w:r w:rsidR="00D84159">
              <w:rPr>
                <w:noProof/>
                <w:webHidden/>
              </w:rPr>
              <w:fldChar w:fldCharType="end"/>
            </w:r>
          </w:hyperlink>
        </w:p>
        <w:p w14:paraId="3A6FE2E5" w14:textId="208CF1B8" w:rsidR="00D84159" w:rsidRDefault="00EB709E">
          <w:pPr>
            <w:pStyle w:val="TOC2"/>
            <w:tabs>
              <w:tab w:val="right" w:leader="dot" w:pos="9350"/>
            </w:tabs>
            <w:rPr>
              <w:rFonts w:eastAsiaTheme="minorEastAsia"/>
              <w:noProof/>
              <w:lang w:val="nb-NO" w:eastAsia="nb-NO"/>
            </w:rPr>
          </w:pPr>
          <w:hyperlink w:anchor="_Toc31113854" w:history="1">
            <w:r w:rsidR="00D84159" w:rsidRPr="00750924">
              <w:rPr>
                <w:rStyle w:val="Hyperlink"/>
                <w:noProof/>
                <w:lang w:val="nb-NO"/>
              </w:rPr>
              <w:t>Faglig innhold</w:t>
            </w:r>
            <w:r w:rsidR="00D84159">
              <w:rPr>
                <w:noProof/>
                <w:webHidden/>
              </w:rPr>
              <w:tab/>
            </w:r>
            <w:r w:rsidR="00D84159">
              <w:rPr>
                <w:noProof/>
                <w:webHidden/>
              </w:rPr>
              <w:fldChar w:fldCharType="begin"/>
            </w:r>
            <w:r w:rsidR="00D84159">
              <w:rPr>
                <w:noProof/>
                <w:webHidden/>
              </w:rPr>
              <w:instrText xml:space="preserve"> PAGEREF _Toc31113854 \h </w:instrText>
            </w:r>
            <w:r w:rsidR="00D84159">
              <w:rPr>
                <w:noProof/>
                <w:webHidden/>
              </w:rPr>
            </w:r>
            <w:r w:rsidR="00D84159">
              <w:rPr>
                <w:noProof/>
                <w:webHidden/>
              </w:rPr>
              <w:fldChar w:fldCharType="separate"/>
            </w:r>
            <w:r w:rsidR="00D84159">
              <w:rPr>
                <w:noProof/>
                <w:webHidden/>
              </w:rPr>
              <w:t>4</w:t>
            </w:r>
            <w:r w:rsidR="00D84159">
              <w:rPr>
                <w:noProof/>
                <w:webHidden/>
              </w:rPr>
              <w:fldChar w:fldCharType="end"/>
            </w:r>
          </w:hyperlink>
        </w:p>
        <w:p w14:paraId="7160469A" w14:textId="3F7DAE40" w:rsidR="00D84159" w:rsidRDefault="00EB709E">
          <w:pPr>
            <w:pStyle w:val="TOC2"/>
            <w:tabs>
              <w:tab w:val="right" w:leader="dot" w:pos="9350"/>
            </w:tabs>
            <w:rPr>
              <w:rFonts w:eastAsiaTheme="minorEastAsia"/>
              <w:noProof/>
              <w:lang w:val="nb-NO" w:eastAsia="nb-NO"/>
            </w:rPr>
          </w:pPr>
          <w:hyperlink w:anchor="_Toc31113855" w:history="1">
            <w:r w:rsidR="00D84159" w:rsidRPr="00750924">
              <w:rPr>
                <w:rStyle w:val="Hyperlink"/>
                <w:noProof/>
              </w:rPr>
              <w:t>Arbeidsomfang</w:t>
            </w:r>
            <w:r w:rsidR="00D84159">
              <w:rPr>
                <w:noProof/>
                <w:webHidden/>
              </w:rPr>
              <w:tab/>
            </w:r>
            <w:r w:rsidR="00D84159">
              <w:rPr>
                <w:noProof/>
                <w:webHidden/>
              </w:rPr>
              <w:fldChar w:fldCharType="begin"/>
            </w:r>
            <w:r w:rsidR="00D84159">
              <w:rPr>
                <w:noProof/>
                <w:webHidden/>
              </w:rPr>
              <w:instrText xml:space="preserve"> PAGEREF _Toc31113855 \h </w:instrText>
            </w:r>
            <w:r w:rsidR="00D84159">
              <w:rPr>
                <w:noProof/>
                <w:webHidden/>
              </w:rPr>
            </w:r>
            <w:r w:rsidR="00D84159">
              <w:rPr>
                <w:noProof/>
                <w:webHidden/>
              </w:rPr>
              <w:fldChar w:fldCharType="separate"/>
            </w:r>
            <w:r w:rsidR="00D84159">
              <w:rPr>
                <w:noProof/>
                <w:webHidden/>
              </w:rPr>
              <w:t>5</w:t>
            </w:r>
            <w:r w:rsidR="00D84159">
              <w:rPr>
                <w:noProof/>
                <w:webHidden/>
              </w:rPr>
              <w:fldChar w:fldCharType="end"/>
            </w:r>
          </w:hyperlink>
        </w:p>
        <w:p w14:paraId="158172DD" w14:textId="67C4251B" w:rsidR="00D84159" w:rsidRDefault="00EB709E">
          <w:pPr>
            <w:pStyle w:val="TOC2"/>
            <w:tabs>
              <w:tab w:val="right" w:leader="dot" w:pos="9350"/>
            </w:tabs>
            <w:rPr>
              <w:rFonts w:eastAsiaTheme="minorEastAsia"/>
              <w:noProof/>
              <w:lang w:val="nb-NO" w:eastAsia="nb-NO"/>
            </w:rPr>
          </w:pPr>
          <w:hyperlink w:anchor="_Toc31113856" w:history="1">
            <w:r w:rsidR="00D84159" w:rsidRPr="00750924">
              <w:rPr>
                <w:rStyle w:val="Hyperlink"/>
                <w:noProof/>
                <w:lang w:val="nb-NO"/>
              </w:rPr>
              <w:t>Kobling til forskning</w:t>
            </w:r>
            <w:r w:rsidR="00D84159">
              <w:rPr>
                <w:noProof/>
                <w:webHidden/>
              </w:rPr>
              <w:tab/>
            </w:r>
            <w:r w:rsidR="00D84159">
              <w:rPr>
                <w:noProof/>
                <w:webHidden/>
              </w:rPr>
              <w:fldChar w:fldCharType="begin"/>
            </w:r>
            <w:r w:rsidR="00D84159">
              <w:rPr>
                <w:noProof/>
                <w:webHidden/>
              </w:rPr>
              <w:instrText xml:space="preserve"> PAGEREF _Toc31113856 \h </w:instrText>
            </w:r>
            <w:r w:rsidR="00D84159">
              <w:rPr>
                <w:noProof/>
                <w:webHidden/>
              </w:rPr>
            </w:r>
            <w:r w:rsidR="00D84159">
              <w:rPr>
                <w:noProof/>
                <w:webHidden/>
              </w:rPr>
              <w:fldChar w:fldCharType="separate"/>
            </w:r>
            <w:r w:rsidR="00D84159">
              <w:rPr>
                <w:noProof/>
                <w:webHidden/>
              </w:rPr>
              <w:t>6</w:t>
            </w:r>
            <w:r w:rsidR="00D84159">
              <w:rPr>
                <w:noProof/>
                <w:webHidden/>
              </w:rPr>
              <w:fldChar w:fldCharType="end"/>
            </w:r>
          </w:hyperlink>
        </w:p>
        <w:p w14:paraId="222057F0" w14:textId="02E9BB7D" w:rsidR="00D84159" w:rsidRDefault="00EB709E">
          <w:pPr>
            <w:pStyle w:val="TOC2"/>
            <w:tabs>
              <w:tab w:val="right" w:leader="dot" w:pos="9350"/>
            </w:tabs>
            <w:rPr>
              <w:rFonts w:eastAsiaTheme="minorEastAsia"/>
              <w:noProof/>
              <w:lang w:val="nb-NO" w:eastAsia="nb-NO"/>
            </w:rPr>
          </w:pPr>
          <w:hyperlink w:anchor="_Toc31113857" w:history="1">
            <w:r w:rsidR="00D84159" w:rsidRPr="00750924">
              <w:rPr>
                <w:rStyle w:val="Hyperlink"/>
                <w:noProof/>
                <w:lang w:val="nb-NO"/>
              </w:rPr>
              <w:t>Internasjonalisering</w:t>
            </w:r>
            <w:r w:rsidR="00D84159">
              <w:rPr>
                <w:noProof/>
                <w:webHidden/>
              </w:rPr>
              <w:tab/>
            </w:r>
            <w:r w:rsidR="00D84159">
              <w:rPr>
                <w:noProof/>
                <w:webHidden/>
              </w:rPr>
              <w:fldChar w:fldCharType="begin"/>
            </w:r>
            <w:r w:rsidR="00D84159">
              <w:rPr>
                <w:noProof/>
                <w:webHidden/>
              </w:rPr>
              <w:instrText xml:space="preserve"> PAGEREF _Toc31113857 \h </w:instrText>
            </w:r>
            <w:r w:rsidR="00D84159">
              <w:rPr>
                <w:noProof/>
                <w:webHidden/>
              </w:rPr>
            </w:r>
            <w:r w:rsidR="00D84159">
              <w:rPr>
                <w:noProof/>
                <w:webHidden/>
              </w:rPr>
              <w:fldChar w:fldCharType="separate"/>
            </w:r>
            <w:r w:rsidR="00D84159">
              <w:rPr>
                <w:noProof/>
                <w:webHidden/>
              </w:rPr>
              <w:t>6</w:t>
            </w:r>
            <w:r w:rsidR="00D84159">
              <w:rPr>
                <w:noProof/>
                <w:webHidden/>
              </w:rPr>
              <w:fldChar w:fldCharType="end"/>
            </w:r>
          </w:hyperlink>
        </w:p>
        <w:p w14:paraId="4DDA48E2" w14:textId="4569433D" w:rsidR="00D84159" w:rsidRDefault="00EB709E">
          <w:pPr>
            <w:pStyle w:val="TOC2"/>
            <w:tabs>
              <w:tab w:val="right" w:leader="dot" w:pos="9350"/>
            </w:tabs>
            <w:rPr>
              <w:rFonts w:eastAsiaTheme="minorEastAsia"/>
              <w:noProof/>
              <w:lang w:val="nb-NO" w:eastAsia="nb-NO"/>
            </w:rPr>
          </w:pPr>
          <w:hyperlink w:anchor="_Toc31113858" w:history="1">
            <w:r w:rsidR="00D84159" w:rsidRPr="00750924">
              <w:rPr>
                <w:rStyle w:val="Hyperlink"/>
                <w:noProof/>
                <w:lang w:val="nb-NO"/>
              </w:rPr>
              <w:t>Praksis</w:t>
            </w:r>
            <w:r w:rsidR="00D84159">
              <w:rPr>
                <w:noProof/>
                <w:webHidden/>
              </w:rPr>
              <w:tab/>
            </w:r>
            <w:r w:rsidR="00D84159">
              <w:rPr>
                <w:noProof/>
                <w:webHidden/>
              </w:rPr>
              <w:fldChar w:fldCharType="begin"/>
            </w:r>
            <w:r w:rsidR="00D84159">
              <w:rPr>
                <w:noProof/>
                <w:webHidden/>
              </w:rPr>
              <w:instrText xml:space="preserve"> PAGEREF _Toc31113858 \h </w:instrText>
            </w:r>
            <w:r w:rsidR="00D84159">
              <w:rPr>
                <w:noProof/>
                <w:webHidden/>
              </w:rPr>
            </w:r>
            <w:r w:rsidR="00D84159">
              <w:rPr>
                <w:noProof/>
                <w:webHidden/>
              </w:rPr>
              <w:fldChar w:fldCharType="separate"/>
            </w:r>
            <w:r w:rsidR="00D84159">
              <w:rPr>
                <w:noProof/>
                <w:webHidden/>
              </w:rPr>
              <w:t>7</w:t>
            </w:r>
            <w:r w:rsidR="00D84159">
              <w:rPr>
                <w:noProof/>
                <w:webHidden/>
              </w:rPr>
              <w:fldChar w:fldCharType="end"/>
            </w:r>
          </w:hyperlink>
        </w:p>
        <w:p w14:paraId="4A2AF6DE" w14:textId="4FBB20A3" w:rsidR="00D84159" w:rsidRDefault="00EB709E">
          <w:pPr>
            <w:pStyle w:val="TOC1"/>
            <w:tabs>
              <w:tab w:val="right" w:leader="dot" w:pos="9350"/>
            </w:tabs>
            <w:rPr>
              <w:rFonts w:eastAsiaTheme="minorEastAsia"/>
              <w:noProof/>
              <w:lang w:val="nb-NO" w:eastAsia="nb-NO"/>
            </w:rPr>
          </w:pPr>
          <w:hyperlink w:anchor="_Toc31113859" w:history="1">
            <w:r w:rsidR="00D84159" w:rsidRPr="00750924">
              <w:rPr>
                <w:rStyle w:val="Hyperlink"/>
                <w:noProof/>
                <w:lang w:val="nb-NO"/>
              </w:rPr>
              <w:t>Krav til fagmiljø i Studietilsynsforskriften</w:t>
            </w:r>
            <w:r w:rsidR="00D84159">
              <w:rPr>
                <w:noProof/>
                <w:webHidden/>
              </w:rPr>
              <w:tab/>
            </w:r>
            <w:r w:rsidR="00D84159">
              <w:rPr>
                <w:noProof/>
                <w:webHidden/>
              </w:rPr>
              <w:fldChar w:fldCharType="begin"/>
            </w:r>
            <w:r w:rsidR="00D84159">
              <w:rPr>
                <w:noProof/>
                <w:webHidden/>
              </w:rPr>
              <w:instrText xml:space="preserve"> PAGEREF _Toc31113859 \h </w:instrText>
            </w:r>
            <w:r w:rsidR="00D84159">
              <w:rPr>
                <w:noProof/>
                <w:webHidden/>
              </w:rPr>
            </w:r>
            <w:r w:rsidR="00D84159">
              <w:rPr>
                <w:noProof/>
                <w:webHidden/>
              </w:rPr>
              <w:fldChar w:fldCharType="separate"/>
            </w:r>
            <w:r w:rsidR="00D84159">
              <w:rPr>
                <w:noProof/>
                <w:webHidden/>
              </w:rPr>
              <w:t>9</w:t>
            </w:r>
            <w:r w:rsidR="00D84159">
              <w:rPr>
                <w:noProof/>
                <w:webHidden/>
              </w:rPr>
              <w:fldChar w:fldCharType="end"/>
            </w:r>
          </w:hyperlink>
        </w:p>
        <w:p w14:paraId="6D4D8AA5" w14:textId="4F70AF8B" w:rsidR="00D84159" w:rsidRDefault="00EB709E">
          <w:pPr>
            <w:pStyle w:val="TOC2"/>
            <w:tabs>
              <w:tab w:val="right" w:leader="dot" w:pos="9350"/>
            </w:tabs>
            <w:rPr>
              <w:rFonts w:eastAsiaTheme="minorEastAsia"/>
              <w:noProof/>
              <w:lang w:val="nb-NO" w:eastAsia="nb-NO"/>
            </w:rPr>
          </w:pPr>
          <w:hyperlink w:anchor="_Toc31113860" w:history="1">
            <w:r w:rsidR="00D84159" w:rsidRPr="00750924">
              <w:rPr>
                <w:rStyle w:val="Hyperlink"/>
                <w:noProof/>
                <w:lang w:val="nb-NO"/>
              </w:rPr>
              <w:t>Fagmiljøets størrelse</w:t>
            </w:r>
            <w:r w:rsidR="00D84159">
              <w:rPr>
                <w:noProof/>
                <w:webHidden/>
              </w:rPr>
              <w:tab/>
            </w:r>
            <w:r w:rsidR="00D84159">
              <w:rPr>
                <w:noProof/>
                <w:webHidden/>
              </w:rPr>
              <w:fldChar w:fldCharType="begin"/>
            </w:r>
            <w:r w:rsidR="00D84159">
              <w:rPr>
                <w:noProof/>
                <w:webHidden/>
              </w:rPr>
              <w:instrText xml:space="preserve"> PAGEREF _Toc31113860 \h </w:instrText>
            </w:r>
            <w:r w:rsidR="00D84159">
              <w:rPr>
                <w:noProof/>
                <w:webHidden/>
              </w:rPr>
            </w:r>
            <w:r w:rsidR="00D84159">
              <w:rPr>
                <w:noProof/>
                <w:webHidden/>
              </w:rPr>
              <w:fldChar w:fldCharType="separate"/>
            </w:r>
            <w:r w:rsidR="00D84159">
              <w:rPr>
                <w:noProof/>
                <w:webHidden/>
              </w:rPr>
              <w:t>9</w:t>
            </w:r>
            <w:r w:rsidR="00D84159">
              <w:rPr>
                <w:noProof/>
                <w:webHidden/>
              </w:rPr>
              <w:fldChar w:fldCharType="end"/>
            </w:r>
          </w:hyperlink>
        </w:p>
        <w:p w14:paraId="52CCE0A3" w14:textId="5855CE48" w:rsidR="00D84159" w:rsidRDefault="00EB709E">
          <w:pPr>
            <w:pStyle w:val="TOC2"/>
            <w:tabs>
              <w:tab w:val="right" w:leader="dot" w:pos="9350"/>
            </w:tabs>
            <w:rPr>
              <w:rFonts w:eastAsiaTheme="minorEastAsia"/>
              <w:noProof/>
              <w:lang w:val="nb-NO" w:eastAsia="nb-NO"/>
            </w:rPr>
          </w:pPr>
          <w:hyperlink w:anchor="_Toc31113861" w:history="1">
            <w:r w:rsidR="00D84159" w:rsidRPr="00750924">
              <w:rPr>
                <w:rStyle w:val="Hyperlink"/>
                <w:noProof/>
                <w:lang w:val="nb-NO"/>
              </w:rPr>
              <w:t>Fagmiljøets utdanningsfaglige kompetanse</w:t>
            </w:r>
            <w:r w:rsidR="00D84159">
              <w:rPr>
                <w:noProof/>
                <w:webHidden/>
              </w:rPr>
              <w:tab/>
            </w:r>
            <w:r w:rsidR="00D84159">
              <w:rPr>
                <w:noProof/>
                <w:webHidden/>
              </w:rPr>
              <w:fldChar w:fldCharType="begin"/>
            </w:r>
            <w:r w:rsidR="00D84159">
              <w:rPr>
                <w:noProof/>
                <w:webHidden/>
              </w:rPr>
              <w:instrText xml:space="preserve"> PAGEREF _Toc31113861 \h </w:instrText>
            </w:r>
            <w:r w:rsidR="00D84159">
              <w:rPr>
                <w:noProof/>
                <w:webHidden/>
              </w:rPr>
            </w:r>
            <w:r w:rsidR="00D84159">
              <w:rPr>
                <w:noProof/>
                <w:webHidden/>
              </w:rPr>
              <w:fldChar w:fldCharType="separate"/>
            </w:r>
            <w:r w:rsidR="00D84159">
              <w:rPr>
                <w:noProof/>
                <w:webHidden/>
              </w:rPr>
              <w:t>11</w:t>
            </w:r>
            <w:r w:rsidR="00D84159">
              <w:rPr>
                <w:noProof/>
                <w:webHidden/>
              </w:rPr>
              <w:fldChar w:fldCharType="end"/>
            </w:r>
          </w:hyperlink>
        </w:p>
        <w:p w14:paraId="18D2C16E" w14:textId="2848C5A7" w:rsidR="00D84159" w:rsidRDefault="00EB709E">
          <w:pPr>
            <w:pStyle w:val="TOC2"/>
            <w:tabs>
              <w:tab w:val="right" w:leader="dot" w:pos="9350"/>
            </w:tabs>
            <w:rPr>
              <w:rFonts w:eastAsiaTheme="minorEastAsia"/>
              <w:noProof/>
              <w:lang w:val="nb-NO" w:eastAsia="nb-NO"/>
            </w:rPr>
          </w:pPr>
          <w:hyperlink w:anchor="_Toc31113862" w:history="1">
            <w:r w:rsidR="00D84159" w:rsidRPr="00750924">
              <w:rPr>
                <w:rStyle w:val="Hyperlink"/>
                <w:noProof/>
                <w:lang w:val="nb-NO"/>
              </w:rPr>
              <w:t>Fagmiljøets fagspesifikke kompetanse</w:t>
            </w:r>
            <w:r w:rsidR="00D84159">
              <w:rPr>
                <w:noProof/>
                <w:webHidden/>
              </w:rPr>
              <w:tab/>
            </w:r>
            <w:r w:rsidR="00D84159">
              <w:rPr>
                <w:noProof/>
                <w:webHidden/>
              </w:rPr>
              <w:fldChar w:fldCharType="begin"/>
            </w:r>
            <w:r w:rsidR="00D84159">
              <w:rPr>
                <w:noProof/>
                <w:webHidden/>
              </w:rPr>
              <w:instrText xml:space="preserve"> PAGEREF _Toc31113862 \h </w:instrText>
            </w:r>
            <w:r w:rsidR="00D84159">
              <w:rPr>
                <w:noProof/>
                <w:webHidden/>
              </w:rPr>
            </w:r>
            <w:r w:rsidR="00D84159">
              <w:rPr>
                <w:noProof/>
                <w:webHidden/>
              </w:rPr>
              <w:fldChar w:fldCharType="separate"/>
            </w:r>
            <w:r w:rsidR="00D84159">
              <w:rPr>
                <w:noProof/>
                <w:webHidden/>
              </w:rPr>
              <w:t>12</w:t>
            </w:r>
            <w:r w:rsidR="00D84159">
              <w:rPr>
                <w:noProof/>
                <w:webHidden/>
              </w:rPr>
              <w:fldChar w:fldCharType="end"/>
            </w:r>
          </w:hyperlink>
        </w:p>
        <w:p w14:paraId="6853683C" w14:textId="06A5832D" w:rsidR="00D84159" w:rsidRDefault="00EB709E">
          <w:pPr>
            <w:pStyle w:val="TOC2"/>
            <w:tabs>
              <w:tab w:val="right" w:leader="dot" w:pos="9350"/>
            </w:tabs>
            <w:rPr>
              <w:rFonts w:eastAsiaTheme="minorEastAsia"/>
              <w:noProof/>
              <w:lang w:val="nb-NO" w:eastAsia="nb-NO"/>
            </w:rPr>
          </w:pPr>
          <w:hyperlink w:anchor="_Toc31113863" w:history="1">
            <w:r w:rsidR="00D84159" w:rsidRPr="00750924">
              <w:rPr>
                <w:rStyle w:val="Hyperlink"/>
                <w:noProof/>
                <w:lang w:val="nb-NO"/>
              </w:rPr>
              <w:t>Internasjonalt og nasjonalt samarbeid</w:t>
            </w:r>
            <w:r w:rsidR="00D84159">
              <w:rPr>
                <w:noProof/>
                <w:webHidden/>
              </w:rPr>
              <w:tab/>
            </w:r>
            <w:r w:rsidR="00D84159">
              <w:rPr>
                <w:noProof/>
                <w:webHidden/>
              </w:rPr>
              <w:fldChar w:fldCharType="begin"/>
            </w:r>
            <w:r w:rsidR="00D84159">
              <w:rPr>
                <w:noProof/>
                <w:webHidden/>
              </w:rPr>
              <w:instrText xml:space="preserve"> PAGEREF _Toc31113863 \h </w:instrText>
            </w:r>
            <w:r w:rsidR="00D84159">
              <w:rPr>
                <w:noProof/>
                <w:webHidden/>
              </w:rPr>
            </w:r>
            <w:r w:rsidR="00D84159">
              <w:rPr>
                <w:noProof/>
                <w:webHidden/>
              </w:rPr>
              <w:fldChar w:fldCharType="separate"/>
            </w:r>
            <w:r w:rsidR="00D84159">
              <w:rPr>
                <w:noProof/>
                <w:webHidden/>
              </w:rPr>
              <w:t>13</w:t>
            </w:r>
            <w:r w:rsidR="00D84159">
              <w:rPr>
                <w:noProof/>
                <w:webHidden/>
              </w:rPr>
              <w:fldChar w:fldCharType="end"/>
            </w:r>
          </w:hyperlink>
        </w:p>
        <w:p w14:paraId="5B4C97E0" w14:textId="62D2A661" w:rsidR="00492001" w:rsidRDefault="00E23700" w:rsidP="00492001">
          <w:pPr>
            <w:pStyle w:val="TOC2"/>
            <w:tabs>
              <w:tab w:val="right" w:leader="dot" w:pos="9350"/>
            </w:tabs>
            <w:rPr>
              <w:rFonts w:eastAsiaTheme="minorEastAsia"/>
              <w:noProof/>
              <w:lang w:val="nb-NO" w:eastAsia="nb-NO"/>
            </w:rPr>
          </w:pPr>
          <w:r>
            <w:fldChar w:fldCharType="end"/>
          </w:r>
        </w:p>
      </w:sdtContent>
    </w:sdt>
    <w:p w14:paraId="77871F2D" w14:textId="77777777" w:rsidR="00492001" w:rsidRPr="00443D6F" w:rsidRDefault="00492001" w:rsidP="00492001">
      <w:pPr>
        <w:rPr>
          <w:lang w:val="nn-NO"/>
        </w:rPr>
      </w:pPr>
    </w:p>
    <w:p w14:paraId="1E1DDAF9" w14:textId="77777777" w:rsidR="00492001" w:rsidRDefault="00492001" w:rsidP="00492001">
      <w:pPr>
        <w:pStyle w:val="Heading2"/>
        <w:rPr>
          <w:rFonts w:ascii="Calibri" w:eastAsia="Calibri" w:hAnsi="Calibri" w:cs="Calibri"/>
          <w:lang w:val="nb-NO"/>
        </w:rPr>
      </w:pPr>
    </w:p>
    <w:p w14:paraId="503B50E9" w14:textId="610A1012" w:rsidR="00492001" w:rsidRDefault="00492001" w:rsidP="5C4C4A36">
      <w:pPr>
        <w:pStyle w:val="Heading1"/>
        <w:rPr>
          <w:lang w:val="nb-NO"/>
        </w:rPr>
      </w:pPr>
      <w:bookmarkStart w:id="0" w:name="_Toc31113849"/>
      <w:r w:rsidRPr="5C4C4A36">
        <w:rPr>
          <w:lang w:val="nb-NO"/>
        </w:rPr>
        <w:t>Tilhørende forskrifter</w:t>
      </w:r>
      <w:bookmarkEnd w:id="0"/>
    </w:p>
    <w:tbl>
      <w:tblPr>
        <w:tblStyle w:val="TableGrid"/>
        <w:tblW w:w="0" w:type="auto"/>
        <w:tblLayout w:type="fixed"/>
        <w:tblLook w:val="06A0" w:firstRow="1" w:lastRow="0" w:firstColumn="1" w:lastColumn="0" w:noHBand="1" w:noVBand="1"/>
      </w:tblPr>
      <w:tblGrid>
        <w:gridCol w:w="9360"/>
      </w:tblGrid>
      <w:tr w:rsidR="00492001" w:rsidRPr="00057271" w14:paraId="0A1F7723" w14:textId="77777777" w:rsidTr="5C4C4A36">
        <w:tc>
          <w:tcPr>
            <w:tcW w:w="9360" w:type="dxa"/>
          </w:tcPr>
          <w:p w14:paraId="0E9BCD4B" w14:textId="77777777" w:rsidR="00492001" w:rsidRDefault="00492001" w:rsidP="001C2291">
            <w:pPr>
              <w:rPr>
                <w:rFonts w:eastAsia="Arial"/>
                <w:lang w:val="nb-NO"/>
              </w:rPr>
            </w:pPr>
            <w:r w:rsidRPr="26311EA4">
              <w:rPr>
                <w:rFonts w:asciiTheme="majorHAnsi" w:eastAsiaTheme="majorEastAsia" w:hAnsiTheme="majorHAnsi" w:cstheme="majorBidi"/>
                <w:i/>
                <w:iCs/>
                <w:lang w:val="nb-NO"/>
              </w:rPr>
              <w:t>§ 2-1 Forutsetninger for akkreditering (1):</w:t>
            </w:r>
            <w:r w:rsidRPr="26311EA4">
              <w:rPr>
                <w:rFonts w:asciiTheme="majorHAnsi" w:eastAsiaTheme="majorEastAsia" w:hAnsiTheme="majorHAnsi" w:cstheme="majorBidi"/>
                <w:i/>
                <w:iCs/>
                <w:color w:val="2F5496" w:themeColor="accent1" w:themeShade="BF"/>
                <w:lang w:val="nb-NO"/>
              </w:rPr>
              <w:t xml:space="preserve"> Aktuelle krav i lov om universiteter og høyskoler med tilhørende forskrifter skal være oppfylt.</w:t>
            </w:r>
          </w:p>
        </w:tc>
      </w:tr>
    </w:tbl>
    <w:p w14:paraId="630CEC79" w14:textId="6C86946C" w:rsidR="00492001" w:rsidRPr="00164414" w:rsidRDefault="2B7A0E93" w:rsidP="5C4C4A36">
      <w:pPr>
        <w:rPr>
          <w:rFonts w:eastAsia="Arial"/>
          <w:i/>
          <w:iCs/>
          <w:color w:val="C45911" w:themeColor="accent2" w:themeShade="BF"/>
          <w:lang w:val="nb-NO"/>
        </w:rPr>
      </w:pPr>
      <w:r w:rsidRPr="5C4C4A36">
        <w:rPr>
          <w:rFonts w:eastAsia="Arial"/>
          <w:i/>
          <w:iCs/>
          <w:color w:val="C45911" w:themeColor="accent2" w:themeShade="BF"/>
          <w:lang w:val="nb-NO"/>
        </w:rPr>
        <w:t>Veiledning fra NOKUT:</w:t>
      </w:r>
    </w:p>
    <w:p w14:paraId="3139E883" w14:textId="1040C623" w:rsidR="00492001" w:rsidRPr="00164414" w:rsidRDefault="00492001" w:rsidP="5C4C4A36">
      <w:pPr>
        <w:rPr>
          <w:rFonts w:eastAsia="Arial"/>
          <w:i/>
          <w:iCs/>
          <w:color w:val="C45911" w:themeColor="accent2" w:themeShade="BF"/>
          <w:lang w:val="nb-NO"/>
        </w:rPr>
      </w:pPr>
      <w:r w:rsidRPr="5C4C4A36">
        <w:rPr>
          <w:rFonts w:eastAsia="Arial"/>
          <w:i/>
          <w:iCs/>
          <w:color w:val="C45911" w:themeColor="accent2" w:themeShade="BF"/>
          <w:lang w:val="nb-NO"/>
        </w:rPr>
        <w:t xml:space="preserve">Forskrifter om rammeplaner/rammeplaner </w:t>
      </w:r>
    </w:p>
    <w:p w14:paraId="1599A4C9" w14:textId="77777777" w:rsidR="00492001" w:rsidRPr="00164414" w:rsidRDefault="00492001" w:rsidP="5C4C4A36">
      <w:pPr>
        <w:rPr>
          <w:rFonts w:eastAsia="Arial"/>
          <w:i/>
          <w:iCs/>
          <w:color w:val="C45911" w:themeColor="accent2" w:themeShade="BF"/>
          <w:lang w:val="nb-NO"/>
        </w:rPr>
      </w:pPr>
      <w:r w:rsidRPr="5C4C4A36">
        <w:rPr>
          <w:rFonts w:eastAsia="Arial"/>
          <w:i/>
          <w:iCs/>
          <w:color w:val="C45911" w:themeColor="accent2" w:themeShade="BF"/>
          <w:lang w:val="nb-NO"/>
        </w:rPr>
        <w:t>Enkelte utdanninger er underlagt rammeplaner gitt i forskrift av KD. Oversikt over rammeplanstyrte utdanninger finnes på KDs nettsider. Studier som er regulert gjennom rammeplaner, skal følge disse. For søknader om akkreditering av studier som følger rammeplan, må det framgå hvordan studietilbudet følger rammeplanen</w:t>
      </w:r>
    </w:p>
    <w:p w14:paraId="42537987" w14:textId="77777777" w:rsidR="00492001" w:rsidRPr="00164414" w:rsidRDefault="00492001" w:rsidP="5C4C4A36">
      <w:pPr>
        <w:rPr>
          <w:rFonts w:eastAsia="Arial"/>
          <w:i/>
          <w:iCs/>
          <w:color w:val="C45911" w:themeColor="accent2" w:themeShade="BF"/>
          <w:lang w:val="nb-NO"/>
        </w:rPr>
      </w:pPr>
      <w:r w:rsidRPr="5C4C4A36">
        <w:rPr>
          <w:rFonts w:eastAsia="Arial"/>
          <w:i/>
          <w:iCs/>
          <w:color w:val="C45911" w:themeColor="accent2" w:themeShade="BF"/>
          <w:lang w:val="nb-NO"/>
        </w:rPr>
        <w:t xml:space="preserve">Andre forskrifter og retningslinjer/direktiver </w:t>
      </w:r>
    </w:p>
    <w:p w14:paraId="176A06F6" w14:textId="77777777" w:rsidR="00492001" w:rsidRPr="00164414" w:rsidRDefault="00492001" w:rsidP="5C4C4A36">
      <w:pPr>
        <w:rPr>
          <w:rFonts w:eastAsia="Arial"/>
          <w:i/>
          <w:iCs/>
          <w:color w:val="C45911" w:themeColor="accent2" w:themeShade="BF"/>
          <w:lang w:val="nb-NO"/>
        </w:rPr>
      </w:pPr>
      <w:r w:rsidRPr="5C4C4A36">
        <w:rPr>
          <w:rFonts w:eastAsia="Arial"/>
          <w:i/>
          <w:iCs/>
          <w:color w:val="C45911" w:themeColor="accent2" w:themeShade="BF"/>
          <w:lang w:val="nb-NO"/>
        </w:rPr>
        <w:t xml:space="preserve">Andre aktuelle forskrifter kan være opprykksforskriften4 (dersom institusjonen må sørge for kompetansevurdering av sine ansatte), gradsforskriften5 (institusjoner kan ikke tildele beskyttede titler, men det er adgang til å bruke tilleggstitler i studienavnet og på vitnemålet), og EUs og andre internasjonale direktiver. </w:t>
      </w:r>
    </w:p>
    <w:p w14:paraId="5999D9D1" w14:textId="77777777" w:rsidR="00492001" w:rsidRPr="00164414" w:rsidRDefault="00492001" w:rsidP="5C4C4A36">
      <w:pPr>
        <w:rPr>
          <w:color w:val="C45911" w:themeColor="accent2" w:themeShade="BF"/>
          <w:lang w:val="nb-NO"/>
        </w:rPr>
      </w:pPr>
      <w:r w:rsidRPr="5C4C4A36">
        <w:rPr>
          <w:rFonts w:eastAsia="Arial"/>
          <w:color w:val="C45911" w:themeColor="accent2" w:themeShade="BF"/>
          <w:lang w:val="nb-NO"/>
        </w:rPr>
        <w:t xml:space="preserve">- Sertifiseringskrav </w:t>
      </w:r>
    </w:p>
    <w:p w14:paraId="7E460794" w14:textId="77777777" w:rsidR="00492001" w:rsidRPr="00164414" w:rsidRDefault="00492001" w:rsidP="5C4C4A36">
      <w:pPr>
        <w:rPr>
          <w:rFonts w:eastAsia="Arial"/>
          <w:color w:val="C45911" w:themeColor="accent2" w:themeShade="BF"/>
          <w:lang w:val="nb-NO"/>
        </w:rPr>
      </w:pPr>
      <w:r w:rsidRPr="5C4C4A36">
        <w:rPr>
          <w:rFonts w:eastAsia="Arial"/>
          <w:color w:val="C45911" w:themeColor="accent2" w:themeShade="BF"/>
          <w:lang w:val="nb-NO"/>
        </w:rPr>
        <w:t xml:space="preserve"> En rekke norske utdanninger er regulert gjennom ulike sertifiseringsordninger fastlagt av ulike sektordepartementer eller deres underliggende etater.</w:t>
      </w:r>
    </w:p>
    <w:p w14:paraId="5F9DC51B" w14:textId="77777777" w:rsidR="00492001" w:rsidRDefault="00492001" w:rsidP="00492001">
      <w:pPr>
        <w:pStyle w:val="Heading2"/>
        <w:rPr>
          <w:lang w:val="nb-NO"/>
        </w:rPr>
      </w:pPr>
    </w:p>
    <w:p w14:paraId="429F7EE4" w14:textId="77777777" w:rsidR="00492001" w:rsidRPr="00164414" w:rsidRDefault="00492001" w:rsidP="00492001">
      <w:pPr>
        <w:pStyle w:val="Heading2"/>
        <w:rPr>
          <w:rFonts w:eastAsia="Arial" w:cstheme="minorBidi"/>
          <w:lang w:val="nb-NO"/>
        </w:rPr>
      </w:pPr>
      <w:bookmarkStart w:id="1" w:name="_Toc31113850"/>
      <w:r w:rsidRPr="5990D8B9">
        <w:rPr>
          <w:lang w:val="nb-NO"/>
        </w:rPr>
        <w:t>Studieplan</w:t>
      </w:r>
      <w:bookmarkEnd w:id="1"/>
    </w:p>
    <w:tbl>
      <w:tblPr>
        <w:tblStyle w:val="TableGrid"/>
        <w:tblW w:w="0" w:type="auto"/>
        <w:tblLayout w:type="fixed"/>
        <w:tblLook w:val="06A0" w:firstRow="1" w:lastRow="0" w:firstColumn="1" w:lastColumn="0" w:noHBand="1" w:noVBand="1"/>
      </w:tblPr>
      <w:tblGrid>
        <w:gridCol w:w="9360"/>
      </w:tblGrid>
      <w:tr w:rsidR="00492001" w:rsidRPr="00057271" w14:paraId="05BCC330" w14:textId="77777777" w:rsidTr="5C4C4A36">
        <w:tc>
          <w:tcPr>
            <w:tcW w:w="9360" w:type="dxa"/>
          </w:tcPr>
          <w:p w14:paraId="7BD3C1BF" w14:textId="77777777" w:rsidR="00492001" w:rsidRDefault="00492001" w:rsidP="001C2291">
            <w:pPr>
              <w:pStyle w:val="Heading4"/>
              <w:outlineLvl w:val="3"/>
              <w:rPr>
                <w:lang w:val="nb-NO"/>
              </w:rPr>
            </w:pPr>
            <w:r w:rsidRPr="26311EA4">
              <w:rPr>
                <w:color w:val="auto"/>
                <w:lang w:val="nb-NO"/>
              </w:rPr>
              <w:t>§ 2-1 Forutsetninger for akkreditering (2)</w:t>
            </w:r>
            <w:r w:rsidRPr="26311EA4">
              <w:rPr>
                <w:lang w:val="nb-NO"/>
              </w:rPr>
              <w:t>: Informasjon om studietilbudet skal være korrekt, vise studiets innhold, oppbygging og progresjon samt muligheter for studentutveksling.</w:t>
            </w:r>
          </w:p>
        </w:tc>
      </w:tr>
    </w:tbl>
    <w:p w14:paraId="17A4AC47" w14:textId="199319FB" w:rsidR="00492001" w:rsidRPr="0025365F" w:rsidRDefault="0C466695" w:rsidP="5C4C4A36">
      <w:pPr>
        <w:rPr>
          <w:rFonts w:eastAsia="Arial"/>
          <w:i/>
          <w:iCs/>
          <w:color w:val="C45911" w:themeColor="accent2" w:themeShade="BF"/>
          <w:lang w:val="nb-NO"/>
        </w:rPr>
      </w:pPr>
      <w:r w:rsidRPr="5C4C4A36">
        <w:rPr>
          <w:rFonts w:eastAsia="Arial"/>
          <w:i/>
          <w:iCs/>
          <w:color w:val="C45911" w:themeColor="accent2" w:themeShade="BF"/>
          <w:lang w:val="nb-NO"/>
        </w:rPr>
        <w:t>Veiledning fra NOKUT:</w:t>
      </w:r>
      <w:r w:rsidRPr="5C4C4A36">
        <w:rPr>
          <w:i/>
          <w:iCs/>
          <w:color w:val="C45911" w:themeColor="accent2" w:themeShade="BF"/>
          <w:lang w:val="nb-NO"/>
        </w:rPr>
        <w:t xml:space="preserve"> </w:t>
      </w:r>
    </w:p>
    <w:p w14:paraId="10415FA7" w14:textId="13127D46" w:rsidR="00492001" w:rsidRPr="0025365F" w:rsidRDefault="0025365F" w:rsidP="5C4C4A36">
      <w:pPr>
        <w:rPr>
          <w:rFonts w:eastAsia="Arial"/>
          <w:i/>
          <w:iCs/>
          <w:color w:val="C45911" w:themeColor="accent2" w:themeShade="BF"/>
          <w:lang w:val="nb-NO"/>
        </w:rPr>
      </w:pPr>
      <w:r w:rsidRPr="5C4C4A36">
        <w:rPr>
          <w:i/>
          <w:iCs/>
          <w:color w:val="C45911" w:themeColor="accent2" w:themeShade="BF"/>
          <w:lang w:val="nb-NO"/>
        </w:rPr>
        <w:t>Med informasjon menes det som framgår av studieplanen og tilknyttet informasjon om studietilbudet. Det følger av universitets- og høyskoleloven § 3-3 (3) at styret fastsetter studieplan for det faglige innholdet i studietilbudene. Standards and Guidelines for Quality Assurance in the European Higher Education Area (ESG) 2015 standard 1.8 fastslår at institusjoner skal sørge for at informasjonen om deres virksomhet, herunder studietilbud, skal være korrekt, objektiv, oppdatert og lett tilgjengelig. Studietilsynsforskriftens § 2-1 (2) anses sammen med universitets- og høyskoleloven § 3-3 (3) som en oppfyllelse av denne standarden.</w:t>
      </w:r>
    </w:p>
    <w:p w14:paraId="36FF47EF" w14:textId="77777777" w:rsidR="00492001" w:rsidRDefault="00492001" w:rsidP="00492001">
      <w:pPr>
        <w:pStyle w:val="Heading2"/>
      </w:pPr>
      <w:bookmarkStart w:id="2" w:name="_Toc31113851"/>
      <w:r w:rsidRPr="26311EA4">
        <w:rPr>
          <w:lang w:val="nb-NO"/>
        </w:rPr>
        <w:t>Nivå på læringsutbyttet</w:t>
      </w:r>
      <w:bookmarkEnd w:id="2"/>
    </w:p>
    <w:tbl>
      <w:tblPr>
        <w:tblStyle w:val="TableGrid"/>
        <w:tblW w:w="0" w:type="auto"/>
        <w:tblLayout w:type="fixed"/>
        <w:tblLook w:val="06A0" w:firstRow="1" w:lastRow="0" w:firstColumn="1" w:lastColumn="0" w:noHBand="1" w:noVBand="1"/>
      </w:tblPr>
      <w:tblGrid>
        <w:gridCol w:w="9360"/>
      </w:tblGrid>
      <w:tr w:rsidR="00492001" w:rsidRPr="00057271" w14:paraId="5396702E" w14:textId="77777777" w:rsidTr="001C2291">
        <w:tc>
          <w:tcPr>
            <w:tcW w:w="9360" w:type="dxa"/>
          </w:tcPr>
          <w:p w14:paraId="7A77737D" w14:textId="77777777" w:rsidR="00492001" w:rsidRDefault="00492001" w:rsidP="001C2291">
            <w:pPr>
              <w:pStyle w:val="Heading4"/>
              <w:outlineLvl w:val="3"/>
              <w:rPr>
                <w:lang w:val="nb-NO"/>
              </w:rPr>
            </w:pPr>
            <w:r w:rsidRPr="5990D8B9">
              <w:rPr>
                <w:rFonts w:eastAsia="Arial" w:cstheme="minorBidi"/>
                <w:color w:val="auto"/>
                <w:lang w:val="nb-NO"/>
              </w:rPr>
              <w:t>§ 2-2 Krav til studietilbudet</w:t>
            </w:r>
            <w:r w:rsidRPr="5990D8B9">
              <w:rPr>
                <w:rFonts w:eastAsia="Arial"/>
                <w:color w:val="auto"/>
                <w:lang w:val="nb-NO"/>
              </w:rPr>
              <w:t xml:space="preserve"> (1):</w:t>
            </w:r>
            <w:r w:rsidRPr="5990D8B9">
              <w:rPr>
                <w:rFonts w:eastAsia="Arial"/>
                <w:lang w:val="nb-NO"/>
              </w:rPr>
              <w:t xml:space="preserve"> Læringsutbyttet for studietilbudet skal beskrives i samsvar med Nasjonalt kvalifikasjonsrammeverk for livslang læring, og studietilbudet skal ha et dekkende navn.</w:t>
            </w:r>
          </w:p>
        </w:tc>
      </w:tr>
    </w:tbl>
    <w:p w14:paraId="7BAF7337" w14:textId="3CDF11EE" w:rsidR="00314558" w:rsidRPr="00BE5000" w:rsidRDefault="4C75AD0B" w:rsidP="5C4C4A36">
      <w:pPr>
        <w:rPr>
          <w:b/>
          <w:bCs/>
          <w:i/>
          <w:iCs/>
          <w:lang w:val="nb-NO"/>
        </w:rPr>
      </w:pPr>
      <w:r w:rsidRPr="5C4C4A36">
        <w:rPr>
          <w:rFonts w:eastAsia="Arial"/>
          <w:i/>
          <w:iCs/>
          <w:color w:val="C45911" w:themeColor="accent2" w:themeShade="BF"/>
          <w:lang w:val="nb-NO"/>
        </w:rPr>
        <w:t>Veiledning fra NOKUT:</w:t>
      </w:r>
      <w:r w:rsidRPr="5C4C4A36">
        <w:rPr>
          <w:b/>
          <w:bCs/>
          <w:i/>
          <w:iCs/>
          <w:lang w:val="nb-NO"/>
        </w:rPr>
        <w:t xml:space="preserve"> </w:t>
      </w:r>
    </w:p>
    <w:p w14:paraId="628C7CFE" w14:textId="59E6EB1D" w:rsidR="00314558" w:rsidRPr="00BE5000" w:rsidRDefault="00BE5000" w:rsidP="5C4C4A36">
      <w:pPr>
        <w:rPr>
          <w:b/>
          <w:bCs/>
          <w:i/>
          <w:iCs/>
          <w:color w:val="C45911" w:themeColor="accent2" w:themeShade="BF"/>
          <w:lang w:val="nb-NO"/>
        </w:rPr>
      </w:pPr>
      <w:r w:rsidRPr="5C4C4A36">
        <w:rPr>
          <w:b/>
          <w:bCs/>
          <w:i/>
          <w:iCs/>
          <w:color w:val="C45911" w:themeColor="accent2" w:themeShade="BF"/>
          <w:lang w:val="nb-NO"/>
        </w:rPr>
        <w:t>Læringsutbyttebeskrivelser</w:t>
      </w:r>
    </w:p>
    <w:p w14:paraId="2DA3F61A" w14:textId="77777777" w:rsidR="001D127C" w:rsidRDefault="00314558" w:rsidP="5C4C4A36">
      <w:pPr>
        <w:rPr>
          <w:i/>
          <w:iCs/>
          <w:color w:val="C45911" w:themeColor="accent2" w:themeShade="BF"/>
          <w:lang w:val="nb-NO" w:eastAsia="nb-NO"/>
        </w:rPr>
      </w:pPr>
      <w:r w:rsidRPr="5C4C4A36">
        <w:rPr>
          <w:i/>
          <w:iCs/>
          <w:color w:val="C45911" w:themeColor="accent2" w:themeShade="BF"/>
          <w:lang w:val="nb-NO"/>
        </w:rPr>
        <w:t>Nasjonalt kvalifikasjonsrammeverk for livslang læring (NKR), ble fastsatt av</w:t>
      </w:r>
      <w:r w:rsidRPr="5C4C4A36">
        <w:rPr>
          <w:i/>
          <w:iCs/>
          <w:color w:val="C45911" w:themeColor="accent2" w:themeShade="BF"/>
          <w:sz w:val="27"/>
          <w:szCs w:val="27"/>
          <w:lang w:val="nb-NO"/>
        </w:rPr>
        <w:t xml:space="preserve"> </w:t>
      </w:r>
      <w:r w:rsidR="009D3B89" w:rsidRPr="5C4C4A36">
        <w:rPr>
          <w:i/>
          <w:iCs/>
          <w:color w:val="C45911" w:themeColor="accent2" w:themeShade="BF"/>
          <w:lang w:val="nb-NO" w:eastAsia="nb-NO"/>
        </w:rPr>
        <w:t>Kunnskapsdepartementet i desember 2011. Det er fastsatt i NKR at alle studietilbud skal ha en læringsutbyttebeskrivelse. Læringsutbyttebeskrivelsen for studietilbudet det søkes akkreditering for skal være i samsvar med NKR. Læringsutbyttebeskrivelsen skal gi et grunnlag for å kommunisere om kandidatenes kompetanse både internt på institusjonen, til læresteder i inn- og utland, og til arbeids- og samfunnslivet. Læringsutbyttet må være beskrevet konkret nok til at studentene og arbeidslivet kan bruke det til å kommunisere om kompetanse.</w:t>
      </w:r>
      <w:r w:rsidR="00BE5000" w:rsidRPr="5C4C4A36">
        <w:rPr>
          <w:i/>
          <w:iCs/>
          <w:color w:val="C45911" w:themeColor="accent2" w:themeShade="BF"/>
          <w:lang w:val="nb-NO" w:eastAsia="nb-NO"/>
        </w:rPr>
        <w:t xml:space="preserve"> </w:t>
      </w:r>
    </w:p>
    <w:p w14:paraId="6F2AC528" w14:textId="64AF2178" w:rsidR="009D3B89" w:rsidRPr="00314558" w:rsidRDefault="009D3B89" w:rsidP="5C4C4A36">
      <w:pPr>
        <w:rPr>
          <w:i/>
          <w:iCs/>
          <w:color w:val="C45911" w:themeColor="accent2" w:themeShade="BF"/>
          <w:lang w:val="nb-NO" w:eastAsia="nb-NO"/>
        </w:rPr>
      </w:pPr>
      <w:r w:rsidRPr="5C4C4A36">
        <w:rPr>
          <w:i/>
          <w:iCs/>
          <w:color w:val="C45911" w:themeColor="accent2" w:themeShade="BF"/>
          <w:lang w:val="nb-NO" w:eastAsia="nb-NO"/>
        </w:rPr>
        <w:t>Alle studietilbud skal følge de generelle læringsutbyttebeskrivelsene som ligger i NKR, når de fagspesifikke beskrivelsene utformes og fastsettes. For å få til gode fagspesifikke beskrivelser er det en forutsetning at utviklingen av læringsutbyttebeskrivelsene er forankret i fagmiljøene.</w:t>
      </w:r>
      <w:r w:rsidR="00BE5000" w:rsidRPr="5C4C4A36">
        <w:rPr>
          <w:i/>
          <w:iCs/>
          <w:color w:val="C45911" w:themeColor="accent2" w:themeShade="BF"/>
          <w:lang w:val="nb-NO" w:eastAsia="nb-NO"/>
        </w:rPr>
        <w:t xml:space="preserve"> </w:t>
      </w:r>
      <w:r w:rsidRPr="5C4C4A36">
        <w:rPr>
          <w:i/>
          <w:iCs/>
          <w:color w:val="C45911" w:themeColor="accent2" w:themeShade="BF"/>
          <w:lang w:val="nb-NO" w:eastAsia="nb-NO"/>
        </w:rPr>
        <w:t>Alle kandidater som har fullført den samme utdanningen, skal som et minimum ha oppnådd det samme læringsutbyttet. Institusjonene kan ha spesialiseringer innenfor et studietilbud. I slike tilfeller er det institusjonen selv som må påse at læringsutbyttet er formulert slik at det skaper en definert ramme for de læringsaktiviteter som er tilknyttet studietilbudet, og det fagmiljøet som er ansvarlig for gjennomføring av læringsaktivitetene</w:t>
      </w:r>
    </w:p>
    <w:p w14:paraId="548E9CFB" w14:textId="3BD7E85A" w:rsidR="001D127C" w:rsidRDefault="00492001" w:rsidP="00D84159">
      <w:pPr>
        <w:spacing w:after="0" w:line="240" w:lineRule="auto"/>
        <w:rPr>
          <w:rFonts w:ascii="Times New Roman" w:eastAsia="Times New Roman" w:hAnsi="Times New Roman" w:cs="Times New Roman"/>
          <w:color w:val="C45911" w:themeColor="accent2" w:themeShade="BF"/>
          <w:sz w:val="24"/>
          <w:szCs w:val="24"/>
          <w:lang w:val="nb-NO" w:eastAsia="nb-NO"/>
        </w:rPr>
      </w:pPr>
      <w:r w:rsidRPr="5C4C4A36">
        <w:rPr>
          <w:i/>
          <w:iCs/>
          <w:color w:val="C45911" w:themeColor="accent2" w:themeShade="BF"/>
          <w:lang w:val="nb-NO"/>
        </w:rPr>
        <w:t>Læringsutbyttebeskrivelsene i NKR er generelle og overordnete da de skal passe for alle studietilbud på et gitt nivå (nivå 6, 7 eller 8). Dersom det for eksempel søkes om et mastergradsstudium, er det nivå 7 i NKR som gjelder. Det er likevel mulig å bruke noen kompetansebeskrivelser (enkeltformuleringer under kunnskaper, ferdigheter og generell kompetanse) fra nivå 6 (bachelor) eller nivå 8 (ph.d.) i en læringsutbyttebeskrivelse på nivå 7 (master). Det viktige her er at beskrivelsen av det samlede læringsutbyttet tydelig kommuniserer at dette er et studium på masternivå. Søkeren skal i søknaden begrunne de valgene som er tatt i arbeidet med læringsutbyttebeskrivelsen.</w:t>
      </w:r>
    </w:p>
    <w:p w14:paraId="64F989A1" w14:textId="77777777" w:rsidR="00D84159" w:rsidRPr="00D84159" w:rsidRDefault="00D84159" w:rsidP="00D84159">
      <w:pPr>
        <w:spacing w:after="0" w:line="240" w:lineRule="auto"/>
        <w:rPr>
          <w:rFonts w:ascii="Times New Roman" w:eastAsia="Times New Roman" w:hAnsi="Times New Roman" w:cs="Times New Roman"/>
          <w:color w:val="C45911" w:themeColor="accent2" w:themeShade="BF"/>
          <w:sz w:val="24"/>
          <w:szCs w:val="24"/>
          <w:lang w:val="nb-NO" w:eastAsia="nb-NO"/>
        </w:rPr>
      </w:pPr>
    </w:p>
    <w:p w14:paraId="2AB399F5" w14:textId="06250071" w:rsidR="00A852C8" w:rsidRPr="00A852C8" w:rsidRDefault="00A852C8" w:rsidP="5C4C4A36">
      <w:pPr>
        <w:rPr>
          <w:b/>
          <w:bCs/>
          <w:i/>
          <w:iCs/>
          <w:color w:val="C45911" w:themeColor="accent2" w:themeShade="BF"/>
          <w:lang w:val="nb-NO"/>
        </w:rPr>
      </w:pPr>
      <w:r w:rsidRPr="5C4C4A36">
        <w:rPr>
          <w:b/>
          <w:bCs/>
          <w:i/>
          <w:iCs/>
          <w:color w:val="C45911" w:themeColor="accent2" w:themeShade="BF"/>
          <w:lang w:val="nb-NO"/>
        </w:rPr>
        <w:t>Studiets navn</w:t>
      </w:r>
    </w:p>
    <w:p w14:paraId="5FB0B8BC" w14:textId="059B1CFC" w:rsidR="00492001" w:rsidRPr="00A852C8" w:rsidRDefault="00492001" w:rsidP="5C4C4A36">
      <w:pPr>
        <w:rPr>
          <w:i/>
          <w:iCs/>
          <w:color w:val="C45911" w:themeColor="accent2" w:themeShade="BF"/>
          <w:lang w:val="nb-NO"/>
        </w:rPr>
      </w:pPr>
      <w:r w:rsidRPr="5C4C4A36">
        <w:rPr>
          <w:i/>
          <w:iCs/>
          <w:color w:val="C45911" w:themeColor="accent2" w:themeShade="BF"/>
          <w:lang w:val="nb-NO"/>
        </w:rPr>
        <w:t>Studiet skal ha et navn som er dekkende for de sentrale delene/den sentrale delen av studiets faglige innhold og som angir studiets nivå (bachelorgradsstudium, mastergradsstudium eller ph.d.-studium). Navnet begrunnes ut fra studieplanen. Studenter, arbeidsgivere og samfunnet for øvrig skal, gjennom navnet, få en god forståelse av studiets innhold.</w:t>
      </w:r>
      <w:r w:rsidR="00B629F3" w:rsidRPr="5C4C4A36">
        <w:rPr>
          <w:i/>
          <w:iCs/>
          <w:color w:val="C45911" w:themeColor="accent2" w:themeShade="BF"/>
          <w:sz w:val="27"/>
          <w:szCs w:val="27"/>
          <w:lang w:val="nb-NO"/>
        </w:rPr>
        <w:t xml:space="preserve"> </w:t>
      </w:r>
      <w:r w:rsidR="00B629F3" w:rsidRPr="5C4C4A36">
        <w:rPr>
          <w:i/>
          <w:iCs/>
          <w:color w:val="C45911" w:themeColor="accent2" w:themeShade="BF"/>
          <w:lang w:val="nb-NO"/>
        </w:rPr>
        <w:t>Studiets engelske navn som er oppgitt i DS skal korrespondere med det norske navnet. Dersom studiet har et navn på et annet fremmedspråk, skal det også korrespondere med det norske navnet.</w:t>
      </w:r>
    </w:p>
    <w:p w14:paraId="19ABF691" w14:textId="77777777" w:rsidR="00492001" w:rsidRDefault="00492001" w:rsidP="00492001">
      <w:pPr>
        <w:pStyle w:val="Heading4"/>
        <w:rPr>
          <w:rStyle w:val="Heading2Char"/>
          <w:i w:val="0"/>
          <w:iCs w:val="0"/>
          <w:lang w:val="nb-NO"/>
        </w:rPr>
      </w:pPr>
      <w:r w:rsidRPr="5990D8B9">
        <w:rPr>
          <w:rFonts w:eastAsia="Arial"/>
          <w:lang w:val="nb-NO"/>
        </w:rPr>
        <w:t xml:space="preserve"> </w:t>
      </w:r>
      <w:bookmarkStart w:id="3" w:name="_Toc31113852"/>
      <w:r w:rsidRPr="5990D8B9">
        <w:rPr>
          <w:rStyle w:val="Heading2Char"/>
          <w:lang w:val="nb-NO"/>
        </w:rPr>
        <w:t>Læringsutbytte og infrastruktur</w:t>
      </w:r>
      <w:bookmarkEnd w:id="3"/>
    </w:p>
    <w:tbl>
      <w:tblPr>
        <w:tblStyle w:val="TableGrid"/>
        <w:tblW w:w="0" w:type="auto"/>
        <w:tblLayout w:type="fixed"/>
        <w:tblLook w:val="06A0" w:firstRow="1" w:lastRow="0" w:firstColumn="1" w:lastColumn="0" w:noHBand="1" w:noVBand="1"/>
      </w:tblPr>
      <w:tblGrid>
        <w:gridCol w:w="9360"/>
      </w:tblGrid>
      <w:tr w:rsidR="00492001" w:rsidRPr="00057271" w14:paraId="398DA5B6" w14:textId="77777777" w:rsidTr="001C2291">
        <w:tc>
          <w:tcPr>
            <w:tcW w:w="9360" w:type="dxa"/>
          </w:tcPr>
          <w:p w14:paraId="751ECC39" w14:textId="77777777" w:rsidR="00492001" w:rsidRDefault="00492001" w:rsidP="001C2291">
            <w:pPr>
              <w:rPr>
                <w:rFonts w:eastAsia="Arial"/>
                <w:lang w:val="nb-NO"/>
              </w:rPr>
            </w:pPr>
            <w:r w:rsidRPr="5990D8B9">
              <w:rPr>
                <w:rFonts w:asciiTheme="majorHAnsi" w:eastAsiaTheme="majorEastAsia" w:hAnsiTheme="majorHAnsi"/>
                <w:i/>
                <w:iCs/>
                <w:lang w:val="nb-NO"/>
              </w:rPr>
              <w:t>§ 2-2 Krav til studietilbudet (4):</w:t>
            </w:r>
            <w:r w:rsidRPr="5990D8B9">
              <w:rPr>
                <w:rFonts w:eastAsia="Arial"/>
                <w:lang w:val="nb-NO"/>
              </w:rPr>
              <w:t xml:space="preserve"> </w:t>
            </w:r>
            <w:r w:rsidRPr="5990D8B9">
              <w:rPr>
                <w:rFonts w:asciiTheme="majorHAnsi" w:eastAsiaTheme="majorEastAsia" w:hAnsiTheme="majorHAnsi" w:cstheme="majorBidi"/>
                <w:i/>
                <w:iCs/>
                <w:color w:val="2F5496" w:themeColor="accent1" w:themeShade="BF"/>
                <w:lang w:val="nb-NO"/>
              </w:rPr>
              <w:t>Studietilbudets innhold, oppbygging og infrastruktur skal være tilpasset læringsutbyttet for studietilbudet.</w:t>
            </w:r>
          </w:p>
        </w:tc>
      </w:tr>
    </w:tbl>
    <w:p w14:paraId="5EBA0562" w14:textId="612D4C4A" w:rsidR="413D24D0" w:rsidRDefault="413D24D0" w:rsidP="5C4C4A36">
      <w:pPr>
        <w:rPr>
          <w:b/>
          <w:bCs/>
          <w:i/>
          <w:iCs/>
          <w:lang w:val="nb-NO"/>
        </w:rPr>
      </w:pPr>
      <w:r w:rsidRPr="5C4C4A36">
        <w:rPr>
          <w:rFonts w:eastAsia="Arial"/>
          <w:i/>
          <w:iCs/>
          <w:color w:val="C45911" w:themeColor="accent2" w:themeShade="BF"/>
          <w:lang w:val="nb-NO"/>
        </w:rPr>
        <w:t>Veiledning fra NOKUT:</w:t>
      </w:r>
    </w:p>
    <w:p w14:paraId="3FD82658" w14:textId="77777777" w:rsidR="009C18CF" w:rsidRPr="009C18CF" w:rsidRDefault="009C18CF" w:rsidP="5C4C4A36">
      <w:pPr>
        <w:rPr>
          <w:i/>
          <w:iCs/>
          <w:color w:val="C45911" w:themeColor="accent2" w:themeShade="BF"/>
          <w:sz w:val="24"/>
          <w:szCs w:val="24"/>
          <w:lang w:val="nb-NO" w:eastAsia="nb-NO"/>
        </w:rPr>
      </w:pPr>
      <w:r w:rsidRPr="5C4C4A36">
        <w:rPr>
          <w:i/>
          <w:iCs/>
          <w:color w:val="C45911" w:themeColor="accent2" w:themeShade="BF"/>
          <w:lang w:val="nb-NO" w:eastAsia="nb-NO"/>
        </w:rPr>
        <w:t>Studietilbudets innhold og oppbygging</w:t>
      </w:r>
    </w:p>
    <w:p w14:paraId="47AD3F94" w14:textId="6F7974EC" w:rsidR="00492001" w:rsidRPr="002657E5" w:rsidRDefault="009C18CF" w:rsidP="5C4C4A36">
      <w:pPr>
        <w:rPr>
          <w:i/>
          <w:iCs/>
          <w:color w:val="C45911" w:themeColor="accent2" w:themeShade="BF"/>
          <w:lang w:val="nb-NO"/>
        </w:rPr>
      </w:pPr>
      <w:r w:rsidRPr="5C4C4A36">
        <w:rPr>
          <w:i/>
          <w:iCs/>
          <w:color w:val="C45911" w:themeColor="accent2" w:themeShade="BF"/>
          <w:lang w:val="nb-NO" w:eastAsia="nb-NO"/>
        </w:rPr>
        <w:t xml:space="preserve">Læringsutbyttet for studiet oppnås gjennom emnene. Et emne er den minste studiepoenggivende enheten. </w:t>
      </w:r>
      <w:r w:rsidR="00492001" w:rsidRPr="5C4C4A36">
        <w:rPr>
          <w:i/>
          <w:iCs/>
          <w:color w:val="C45911" w:themeColor="accent2" w:themeShade="BF"/>
          <w:lang w:val="nb-NO"/>
        </w:rPr>
        <w:t xml:space="preserve"> Studiets innhold og oppbygging skal vise hvordan alle emnene i studiet, sammen med progresjonen fra semester til semester, fører frem til læringsutbyttet for studiet. Det er vanlig at det også utarbeides læringsutbyttebeskrivelser på emnenivå. Hvert enkelt emne vil bidra til å oppnå deler av studiets læringsutbytte. Gjennom noen emner kan studentene for eksempel oppnå kunnskap om ulike tema, mens gjennom andre oppnår de ferdigheter og generell kompetanse.</w:t>
      </w:r>
    </w:p>
    <w:p w14:paraId="00E0B549" w14:textId="77777777" w:rsidR="00EE31AD" w:rsidRPr="00EE31AD" w:rsidRDefault="00EE31AD" w:rsidP="5C4C4A36">
      <w:pPr>
        <w:rPr>
          <w:i/>
          <w:iCs/>
          <w:color w:val="C45911" w:themeColor="accent2" w:themeShade="BF"/>
          <w:lang w:val="nb-NO"/>
        </w:rPr>
      </w:pPr>
      <w:r w:rsidRPr="5C4C4A36">
        <w:rPr>
          <w:i/>
          <w:iCs/>
          <w:color w:val="C45911" w:themeColor="accent2" w:themeShade="BF"/>
          <w:lang w:val="nb-NO"/>
        </w:rPr>
        <w:t xml:space="preserve">Studietilbudets infrastruktur </w:t>
      </w:r>
    </w:p>
    <w:p w14:paraId="1BABE5A6" w14:textId="77777777" w:rsidR="006C6FD7" w:rsidRPr="00B449AD" w:rsidRDefault="006C6FD7" w:rsidP="5C4C4A36">
      <w:pPr>
        <w:rPr>
          <w:i/>
          <w:iCs/>
          <w:color w:val="C45911" w:themeColor="accent2" w:themeShade="BF"/>
          <w:lang w:val="nb-NO"/>
        </w:rPr>
      </w:pPr>
      <w:r w:rsidRPr="5C4C4A36">
        <w:rPr>
          <w:i/>
          <w:iCs/>
          <w:color w:val="C45911" w:themeColor="accent2" w:themeShade="BF"/>
          <w:lang w:val="nb-NO"/>
        </w:rPr>
        <w:t xml:space="preserve">Institusjonen må ha tilstrekkelig tilgang på infrastruktur som beskrevet i merknaden over. Hva som regnes som en tilfredsstillende infrastruktur og ressurstilgang, vil være avhengig av studiets egenart og hvordan studiet er organisert (campus/nettbasert/hybridløsninger). Infrastruktur og støttesystemer må være relevante og bærekraftige i studieorganiseringen som velges. For studier som kun tilbys på nett, kan det være relevant å beskrive spesielle funksjoner som serverkapasitet, nettkapasitet, valgt læringsplattform, programvare, verktøy og utstyr. Det stilles ikke eksakte krav til infrastruktur og læringsressurser, men søkeren må vurdere hva som er tilstrekkelig for at studentene skal oppnå læringsutbytte. </w:t>
      </w:r>
    </w:p>
    <w:p w14:paraId="58AAB6E7" w14:textId="51A7F3B4" w:rsidR="00492001" w:rsidRPr="00D84159" w:rsidRDefault="00492001" w:rsidP="00D84159">
      <w:pPr>
        <w:rPr>
          <w:i/>
          <w:iCs/>
          <w:color w:val="C45911" w:themeColor="accent2" w:themeShade="BF"/>
          <w:lang w:val="nb-NO"/>
        </w:rPr>
      </w:pPr>
      <w:r w:rsidRPr="5C4C4A36">
        <w:rPr>
          <w:i/>
          <w:iCs/>
          <w:color w:val="C45911" w:themeColor="accent2" w:themeShade="BF"/>
          <w:lang w:val="nb-NO"/>
        </w:rPr>
        <w:t>Med infrastruktur menes egnede lokaler, utstyr, bibliotektjenester, administrative og tekniske tjenester, tilstrekkelige og egnede IKT-ressurser, nettstøtte, egnet læringsplattform etc. som understøtter studentens læring og læringsmiljø og den faglig ansattes undervisning og forskning og/eller kunstneriske utviklingsarbeid og faglige utviklingsarbeid.</w:t>
      </w:r>
    </w:p>
    <w:p w14:paraId="2837A51E" w14:textId="77777777" w:rsidR="00492001" w:rsidRDefault="00492001" w:rsidP="00492001">
      <w:pPr>
        <w:pStyle w:val="Heading2"/>
        <w:rPr>
          <w:lang w:val="nb-NO"/>
        </w:rPr>
      </w:pPr>
      <w:bookmarkStart w:id="4" w:name="_Toc31113853"/>
      <w:r w:rsidRPr="26311EA4">
        <w:rPr>
          <w:lang w:val="nb-NO"/>
        </w:rPr>
        <w:t>Undervisnings- og vurderingsformer</w:t>
      </w:r>
      <w:bookmarkEnd w:id="4"/>
    </w:p>
    <w:tbl>
      <w:tblPr>
        <w:tblStyle w:val="TableGrid"/>
        <w:tblW w:w="0" w:type="auto"/>
        <w:tblLayout w:type="fixed"/>
        <w:tblLook w:val="06A0" w:firstRow="1" w:lastRow="0" w:firstColumn="1" w:lastColumn="0" w:noHBand="1" w:noVBand="1"/>
      </w:tblPr>
      <w:tblGrid>
        <w:gridCol w:w="9360"/>
      </w:tblGrid>
      <w:tr w:rsidR="00492001" w:rsidRPr="00057271" w14:paraId="472A27C8" w14:textId="77777777" w:rsidTr="5C4C4A36">
        <w:tc>
          <w:tcPr>
            <w:tcW w:w="9360" w:type="dxa"/>
          </w:tcPr>
          <w:p w14:paraId="79C64AA2" w14:textId="77777777" w:rsidR="00492001" w:rsidRDefault="00492001" w:rsidP="001C2291">
            <w:pPr>
              <w:pStyle w:val="Heading4"/>
              <w:outlineLvl w:val="3"/>
              <w:rPr>
                <w:rFonts w:eastAsia="Arial"/>
                <w:lang w:val="nb-NO"/>
              </w:rPr>
            </w:pPr>
            <w:r w:rsidRPr="5990D8B9">
              <w:rPr>
                <w:rFonts w:cstheme="minorBidi"/>
                <w:color w:val="auto"/>
                <w:lang w:val="nb-NO"/>
              </w:rPr>
              <w:t>§ 2-2 Krav til studietilbudet (5):</w:t>
            </w:r>
            <w:r w:rsidRPr="5990D8B9">
              <w:rPr>
                <w:rFonts w:eastAsia="Arial"/>
                <w:lang w:val="nb-NO"/>
              </w:rPr>
              <w:t xml:space="preserve"> Undervisnings-, lærings- og vurderingsformer skal være tilpasset læringsutbyttet for studietilbudet. Det skal legges til rette for at studenten kan ta en aktiv rolle i læringsprosessen.</w:t>
            </w:r>
          </w:p>
        </w:tc>
      </w:tr>
    </w:tbl>
    <w:p w14:paraId="645D5A4A" w14:textId="2E686927" w:rsidR="413D24D0" w:rsidRDefault="53F69CC7" w:rsidP="5C4C4A36">
      <w:pPr>
        <w:rPr>
          <w:b/>
          <w:bCs/>
          <w:i/>
          <w:iCs/>
          <w:lang w:val="nb-NO"/>
        </w:rPr>
      </w:pPr>
      <w:r w:rsidRPr="5C4C4A36">
        <w:rPr>
          <w:rFonts w:eastAsia="Arial"/>
          <w:i/>
          <w:iCs/>
          <w:color w:val="C45911" w:themeColor="accent2" w:themeShade="BF"/>
          <w:lang w:val="nb-NO"/>
        </w:rPr>
        <w:t>Veiledning fra NOKUT:</w:t>
      </w:r>
    </w:p>
    <w:p w14:paraId="6B08D677" w14:textId="77777777" w:rsidR="00492001" w:rsidRDefault="00492001" w:rsidP="5C4C4A36">
      <w:pPr>
        <w:pStyle w:val="Default"/>
        <w:ind w:left="720"/>
        <w:rPr>
          <w:color w:val="C45911" w:themeColor="accent2" w:themeShade="BF"/>
          <w:sz w:val="16"/>
          <w:szCs w:val="16"/>
        </w:rPr>
      </w:pPr>
    </w:p>
    <w:p w14:paraId="17C09B7C" w14:textId="25EC21C8" w:rsidR="00BF5F46" w:rsidRPr="00BF5F46" w:rsidRDefault="007B1027" w:rsidP="5C4C4A36">
      <w:pPr>
        <w:spacing w:after="0" w:line="240" w:lineRule="auto"/>
        <w:rPr>
          <w:i/>
          <w:iCs/>
          <w:color w:val="C45911" w:themeColor="accent2" w:themeShade="BF"/>
          <w:lang w:val="nb-NO" w:eastAsia="nb-NO"/>
        </w:rPr>
      </w:pPr>
      <w:r w:rsidRPr="5C4C4A36">
        <w:rPr>
          <w:i/>
          <w:iCs/>
          <w:color w:val="C45911" w:themeColor="accent2" w:themeShade="BF"/>
          <w:lang w:val="nb-NO" w:eastAsia="nb-NO"/>
        </w:rPr>
        <w:t>De ulike undervisnings- og læringsformene må være tilpasset studietilbudets innhold og oppbygging. Det forutsettes at undervisnings-, lærings- og vurderingsformer er tilpasset et digitalisert samfunn.</w:t>
      </w:r>
      <w:r w:rsidR="00BF5F46" w:rsidRPr="5C4C4A36">
        <w:rPr>
          <w:i/>
          <w:iCs/>
          <w:color w:val="C45911" w:themeColor="accent2" w:themeShade="BF"/>
          <w:sz w:val="24"/>
          <w:szCs w:val="24"/>
          <w:lang w:val="nb-NO" w:eastAsia="nb-NO"/>
        </w:rPr>
        <w:t xml:space="preserve"> </w:t>
      </w:r>
      <w:r w:rsidRPr="5C4C4A36">
        <w:rPr>
          <w:i/>
          <w:iCs/>
          <w:color w:val="C45911" w:themeColor="accent2" w:themeShade="BF"/>
          <w:lang w:val="nb-NO" w:eastAsia="nb-NO"/>
        </w:rPr>
        <w:t>For studietilbud med få studenter og/eller geografisk spredt studentgruppe innebærer bestemmelsen at institusjonen skal treffe tiltak for å sikre et godt studiemiljø som legger til rette for faglig samhandling mellom studentene og/eller mellom studentene og fagmiljøet. Kravet om studentenes aktive rolle er i samsvar med ESG 2015 standard 1.3 om studentsentrert læring.</w:t>
      </w:r>
    </w:p>
    <w:p w14:paraId="4D187935" w14:textId="5D7AB004" w:rsidR="00492001" w:rsidRPr="00BF5F46" w:rsidRDefault="00492001" w:rsidP="5C4C4A36">
      <w:pPr>
        <w:rPr>
          <w:i/>
          <w:iCs/>
          <w:color w:val="C45911" w:themeColor="accent2" w:themeShade="BF"/>
          <w:lang w:val="nb-NO"/>
        </w:rPr>
      </w:pPr>
      <w:r w:rsidRPr="5C4C4A36">
        <w:rPr>
          <w:i/>
          <w:iCs/>
          <w:color w:val="C45911" w:themeColor="accent2" w:themeShade="BF"/>
          <w:lang w:val="nb-NO"/>
        </w:rPr>
        <w:t xml:space="preserve">Studiets undervisnings- og læringsformer kan omfatte alt fra lærerstyrt undervisning og studentstyrte gruppearbeid til selvstudium og ulike former for praksis. Undervisnings- og læringsformene skal være lagt opp slik at studentene oppnår det læringsutbyttet som er beskrevet for studiet. </w:t>
      </w:r>
    </w:p>
    <w:p w14:paraId="3EEEC856" w14:textId="77777777" w:rsidR="00492001" w:rsidRPr="00BF5F46" w:rsidRDefault="00492001" w:rsidP="5C4C4A36">
      <w:pPr>
        <w:rPr>
          <w:i/>
          <w:iCs/>
          <w:color w:val="C45911" w:themeColor="accent2" w:themeShade="BF"/>
          <w:lang w:val="nb-NO"/>
        </w:rPr>
      </w:pPr>
      <w:r w:rsidRPr="5C4C4A36">
        <w:rPr>
          <w:i/>
          <w:iCs/>
          <w:color w:val="C45911" w:themeColor="accent2" w:themeShade="BF"/>
          <w:lang w:val="nb-NO"/>
        </w:rPr>
        <w:t xml:space="preserve">Studiets vurderingsformer kan omfatte både underveis- og sluttvurderinger av studentenes oppnådde læringsutbytte. Eksempler på dette kan være skriftlig eksamen, praktiske oppgaver, presentasjoner, mappeinnleveringer og så videre. Vurderingsformene skal være egnet til å måle om studenten har oppnådd læringsutbyttet. </w:t>
      </w:r>
    </w:p>
    <w:p w14:paraId="69885C2A" w14:textId="77777777" w:rsidR="00492001" w:rsidRPr="00BF5F46" w:rsidRDefault="00492001" w:rsidP="5C4C4A36">
      <w:pPr>
        <w:rPr>
          <w:i/>
          <w:iCs/>
          <w:color w:val="C45911" w:themeColor="accent2" w:themeShade="BF"/>
          <w:lang w:val="nb-NO"/>
        </w:rPr>
      </w:pPr>
      <w:r w:rsidRPr="5C4C4A36">
        <w:rPr>
          <w:i/>
          <w:iCs/>
          <w:color w:val="C45911" w:themeColor="accent2" w:themeShade="BF"/>
          <w:lang w:val="nb-NO"/>
        </w:rPr>
        <w:t>Institusjonen skal også gjennomføre studietilbudet slik at studentene oppmuntres til å ta en aktiv rolle i læringsprosessen og bedømmelsen av studentene skal gjenspeile denne tilnærmingen</w:t>
      </w:r>
      <w:r w:rsidRPr="5C4C4A36">
        <w:rPr>
          <w:i/>
          <w:iCs/>
          <w:color w:val="C45911" w:themeColor="accent2" w:themeShade="BF"/>
          <w:sz w:val="14"/>
          <w:szCs w:val="14"/>
          <w:lang w:val="nb-NO"/>
        </w:rPr>
        <w:t>7</w:t>
      </w:r>
      <w:r w:rsidRPr="5C4C4A36">
        <w:rPr>
          <w:i/>
          <w:iCs/>
          <w:color w:val="C45911" w:themeColor="accent2" w:themeShade="BF"/>
          <w:lang w:val="nb-NO"/>
        </w:rPr>
        <w:t>. Fagmiljøet må selv velge tiltak for å sikre at studentene kan ta en aktiv rolle i læringsprosessen som passer for det aktuelle studietilbudet. Hvilken måte fagmiljøet legger til rette for at studentene kan ta en aktiv rolle, vil avhenge av studietilbudets profil. Dette henger også sammen med å sikre og ivareta et godt læringsmiljø for studentene.</w:t>
      </w:r>
    </w:p>
    <w:p w14:paraId="2F4497B1" w14:textId="77777777" w:rsidR="00492001" w:rsidRDefault="00492001" w:rsidP="00492001">
      <w:pPr>
        <w:pStyle w:val="Heading4"/>
        <w:rPr>
          <w:rFonts w:eastAsia="Arial"/>
          <w:lang w:val="nb-NO"/>
        </w:rPr>
      </w:pPr>
    </w:p>
    <w:p w14:paraId="757C325F" w14:textId="77777777" w:rsidR="00492001" w:rsidRDefault="00492001" w:rsidP="00492001">
      <w:pPr>
        <w:pStyle w:val="Heading2"/>
        <w:rPr>
          <w:lang w:val="nb-NO"/>
        </w:rPr>
      </w:pPr>
      <w:bookmarkStart w:id="5" w:name="_Toc31113854"/>
      <w:r w:rsidRPr="26311EA4">
        <w:rPr>
          <w:lang w:val="nb-NO"/>
        </w:rPr>
        <w:t>Faglig innhold</w:t>
      </w:r>
      <w:bookmarkEnd w:id="5"/>
    </w:p>
    <w:tbl>
      <w:tblPr>
        <w:tblStyle w:val="TableGrid"/>
        <w:tblW w:w="0" w:type="auto"/>
        <w:tblLayout w:type="fixed"/>
        <w:tblLook w:val="06A0" w:firstRow="1" w:lastRow="0" w:firstColumn="1" w:lastColumn="0" w:noHBand="1" w:noVBand="1"/>
      </w:tblPr>
      <w:tblGrid>
        <w:gridCol w:w="9360"/>
      </w:tblGrid>
      <w:tr w:rsidR="00492001" w:rsidRPr="00ED7677" w14:paraId="67360FDF" w14:textId="77777777" w:rsidTr="5C4C4A36">
        <w:tc>
          <w:tcPr>
            <w:tcW w:w="9360" w:type="dxa"/>
          </w:tcPr>
          <w:p w14:paraId="38A554E2" w14:textId="77777777" w:rsidR="00492001" w:rsidRDefault="00492001" w:rsidP="001C2291">
            <w:pPr>
              <w:rPr>
                <w:rFonts w:asciiTheme="majorHAnsi" w:eastAsiaTheme="majorEastAsia" w:hAnsiTheme="majorHAnsi" w:cstheme="majorBidi"/>
                <w:i/>
                <w:iCs/>
                <w:color w:val="2F5496" w:themeColor="accent1" w:themeShade="BF"/>
                <w:lang w:val="nb-NO"/>
              </w:rPr>
            </w:pPr>
            <w:r w:rsidRPr="5990D8B9">
              <w:rPr>
                <w:rFonts w:asciiTheme="majorHAnsi" w:eastAsiaTheme="majorEastAsia" w:hAnsiTheme="majorHAnsi"/>
                <w:i/>
                <w:iCs/>
                <w:lang w:val="nb-NO"/>
              </w:rPr>
              <w:t xml:space="preserve">§ 2-2 Krav til studietilbudet (2): </w:t>
            </w:r>
            <w:r w:rsidRPr="5990D8B9">
              <w:rPr>
                <w:rFonts w:asciiTheme="majorHAnsi" w:eastAsiaTheme="majorEastAsia" w:hAnsiTheme="majorHAnsi" w:cstheme="majorBidi"/>
                <w:i/>
                <w:iCs/>
                <w:color w:val="2F5496" w:themeColor="accent1" w:themeShade="BF"/>
                <w:lang w:val="nb-NO"/>
              </w:rPr>
              <w:t>Studietilbudet skal være faglig oppdatert og ha tydelig relevans for videre studier og/eller arbeidsliv.</w:t>
            </w:r>
          </w:p>
          <w:p w14:paraId="39B62B02" w14:textId="77777777" w:rsidR="00492001" w:rsidRDefault="00492001" w:rsidP="001C2291">
            <w:pPr>
              <w:rPr>
                <w:rFonts w:asciiTheme="majorHAnsi" w:eastAsiaTheme="majorEastAsia" w:hAnsiTheme="majorHAnsi" w:cstheme="majorBidi"/>
                <w:i/>
                <w:iCs/>
                <w:color w:val="2F5496" w:themeColor="accent1" w:themeShade="BF"/>
                <w:lang w:val="nb-NO"/>
              </w:rPr>
            </w:pPr>
          </w:p>
          <w:p w14:paraId="1C9CBB74" w14:textId="77777777" w:rsidR="00492001" w:rsidRPr="00D84159" w:rsidRDefault="00492001" w:rsidP="00D84159">
            <w:pPr>
              <w:rPr>
                <w:rFonts w:asciiTheme="majorHAnsi" w:eastAsiaTheme="majorEastAsia" w:hAnsiTheme="majorHAnsi"/>
                <w:i/>
                <w:iCs/>
                <w:lang w:val="nb-NO"/>
              </w:rPr>
            </w:pPr>
            <w:r w:rsidRPr="00D84159">
              <w:rPr>
                <w:rFonts w:asciiTheme="majorHAnsi" w:eastAsiaTheme="majorEastAsia" w:hAnsiTheme="majorHAnsi"/>
                <w:i/>
                <w:iCs/>
                <w:lang w:val="nb-NO"/>
              </w:rPr>
              <w:t xml:space="preserve">Dersom mastergradsstudier: </w:t>
            </w:r>
          </w:p>
          <w:p w14:paraId="43D00ECF" w14:textId="77777777" w:rsidR="00492001" w:rsidRPr="00D84159" w:rsidRDefault="00492001" w:rsidP="00D84159">
            <w:pPr>
              <w:rPr>
                <w:rFonts w:asciiTheme="majorHAnsi" w:eastAsiaTheme="majorEastAsia" w:hAnsiTheme="majorHAnsi"/>
                <w:i/>
                <w:iCs/>
                <w:lang w:val="nb-NO"/>
              </w:rPr>
            </w:pPr>
            <w:r w:rsidRPr="00D84159">
              <w:rPr>
                <w:rFonts w:asciiTheme="majorHAnsi" w:eastAsiaTheme="majorEastAsia" w:hAnsiTheme="majorHAnsi"/>
                <w:i/>
                <w:iCs/>
                <w:lang w:val="nb-NO"/>
              </w:rPr>
              <w:t xml:space="preserve">Krav til akkreditering i </w:t>
            </w:r>
            <w:hyperlink r:id="rId10" w:history="1">
              <w:r w:rsidRPr="00D84159">
                <w:rPr>
                  <w:rFonts w:asciiTheme="majorHAnsi" w:eastAsiaTheme="majorEastAsia" w:hAnsiTheme="majorHAnsi"/>
                  <w:i/>
                  <w:iCs/>
                  <w:lang w:val="nb-NO"/>
                </w:rPr>
                <w:t>Forskrift om kvalitetssikring og kvalitetsutvikling i høyere utdanning og fagskoleutdanning</w:t>
              </w:r>
            </w:hyperlink>
            <w:r w:rsidRPr="00D84159">
              <w:rPr>
                <w:rFonts w:asciiTheme="majorHAnsi" w:eastAsiaTheme="majorEastAsia" w:hAnsiTheme="majorHAnsi"/>
                <w:i/>
                <w:iCs/>
                <w:lang w:val="nb-NO"/>
              </w:rPr>
              <w:t xml:space="preserve"> § 3-2.Akkreditering av mastergradsstudier</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144"/>
            </w:tblGrid>
            <w:tr w:rsidR="00492001" w:rsidRPr="00ED7677" w14:paraId="44DB140F" w14:textId="77777777" w:rsidTr="001C2291">
              <w:trPr>
                <w:tblCellSpacing w:w="15" w:type="dxa"/>
              </w:trPr>
              <w:tc>
                <w:tcPr>
                  <w:tcW w:w="9300" w:type="dxa"/>
                  <w:vAlign w:val="center"/>
                  <w:hideMark/>
                </w:tcPr>
                <w:p w14:paraId="1FD4E17C" w14:textId="77777777" w:rsidR="00492001" w:rsidRPr="002657E5" w:rsidRDefault="00492001" w:rsidP="00D84159">
                  <w:pPr>
                    <w:rPr>
                      <w:rFonts w:asciiTheme="majorHAnsi" w:eastAsiaTheme="majorEastAsia" w:hAnsiTheme="majorHAnsi" w:cstheme="majorBidi"/>
                      <w:color w:val="2F5496" w:themeColor="accent1" w:themeShade="BF"/>
                      <w:lang w:val="nb-NO"/>
                    </w:rPr>
                  </w:pPr>
                  <w:r w:rsidRPr="002657E5">
                    <w:rPr>
                      <w:rFonts w:asciiTheme="majorHAnsi" w:eastAsiaTheme="majorEastAsia" w:hAnsiTheme="majorHAnsi" w:cstheme="majorBidi"/>
                      <w:color w:val="2F5496" w:themeColor="accent1" w:themeShade="BF"/>
                      <w:lang w:val="nb-NO"/>
                    </w:rPr>
                    <w:t>(</w:t>
                  </w:r>
                  <w:r w:rsidRPr="00D84159">
                    <w:rPr>
                      <w:rFonts w:asciiTheme="majorHAnsi" w:eastAsiaTheme="majorEastAsia" w:hAnsiTheme="majorHAnsi" w:cstheme="majorBidi"/>
                      <w:i/>
                      <w:iCs/>
                      <w:color w:val="2F5496" w:themeColor="accent1" w:themeShade="BF"/>
                      <w:lang w:val="nb-NO"/>
                    </w:rPr>
                    <w:t>1) Mastergradsstudiet skal være definert og avgrenset og ha tilstrekkelig faglig bredde.</w:t>
                  </w:r>
                </w:p>
              </w:tc>
            </w:tr>
          </w:tbl>
          <w:p w14:paraId="239D5E44" w14:textId="77777777" w:rsidR="00492001" w:rsidRDefault="00492001" w:rsidP="001C2291">
            <w:pPr>
              <w:rPr>
                <w:rFonts w:eastAsia="Arial"/>
                <w:lang w:val="nb-NO"/>
              </w:rPr>
            </w:pPr>
          </w:p>
        </w:tc>
      </w:tr>
    </w:tbl>
    <w:p w14:paraId="0444CBB4" w14:textId="4630B7CC" w:rsidR="00492001" w:rsidRPr="003A4028" w:rsidRDefault="3F4BCBB7" w:rsidP="5C4C4A36">
      <w:pPr>
        <w:rPr>
          <w:i/>
          <w:iCs/>
          <w:color w:val="C45911" w:themeColor="accent2" w:themeShade="BF"/>
          <w:lang w:val="nb-NO"/>
        </w:rPr>
      </w:pPr>
      <w:r w:rsidRPr="5C4C4A36">
        <w:rPr>
          <w:rFonts w:eastAsia="Arial"/>
          <w:i/>
          <w:iCs/>
          <w:color w:val="C45911" w:themeColor="accent2" w:themeShade="BF"/>
          <w:lang w:val="nb-NO"/>
        </w:rPr>
        <w:t>Veiledning fra NOKUT:</w:t>
      </w:r>
      <w:r w:rsidRPr="5C4C4A36">
        <w:rPr>
          <w:i/>
          <w:iCs/>
          <w:color w:val="C45911" w:themeColor="accent2" w:themeShade="BF"/>
          <w:lang w:val="nb-NO"/>
        </w:rPr>
        <w:t xml:space="preserve"> </w:t>
      </w:r>
    </w:p>
    <w:p w14:paraId="18C12DE9" w14:textId="0186F81F" w:rsidR="00492001" w:rsidRPr="003A4028" w:rsidRDefault="00492001" w:rsidP="5C4C4A36">
      <w:pPr>
        <w:rPr>
          <w:i/>
          <w:iCs/>
          <w:color w:val="C45911" w:themeColor="accent2" w:themeShade="BF"/>
          <w:lang w:val="nb-NO"/>
        </w:rPr>
      </w:pPr>
      <w:r w:rsidRPr="5C4C4A36">
        <w:rPr>
          <w:i/>
          <w:iCs/>
          <w:color w:val="C45911" w:themeColor="accent2" w:themeShade="BF"/>
          <w:lang w:val="nb-NO"/>
        </w:rPr>
        <w:t>Kravet om at studietilbudet er faglig oppdatert, innebærer at det er oppdatert innenfor kunnskapsutviklingen i både akademia og profesjons-, arbeids- og/eller samfunnsliv. Relevans og oppdatert kunnskap innen profesjons-, arbeids- og/eller samfunnsliv sikres gjennom ordninger for samhandling med arbeids- og/eller samfunnsliv tilpasset studietilbudets innhold og nivå.</w:t>
      </w:r>
      <w:r w:rsidR="003A4028" w:rsidRPr="5C4C4A36">
        <w:rPr>
          <w:i/>
          <w:iCs/>
          <w:color w:val="C45911" w:themeColor="accent2" w:themeShade="BF"/>
          <w:lang w:val="nb-NO"/>
        </w:rPr>
        <w:t xml:space="preserve"> Det forutsettes at institusjonen har vurdert rekrutteringsgrunnlaget ut fra forventet etterspørsel/behov og samlet kapasitet knyttet til samme eller lignende studietilbud ved egen institusjon og andres institusjoner.</w:t>
      </w:r>
    </w:p>
    <w:p w14:paraId="460B104C" w14:textId="3900F327" w:rsidR="00492001" w:rsidRPr="00CE4788" w:rsidRDefault="00492001" w:rsidP="5C4C4A36">
      <w:pPr>
        <w:rPr>
          <w:i/>
          <w:iCs/>
          <w:color w:val="C45911" w:themeColor="accent2" w:themeShade="BF"/>
          <w:lang w:val="nb-NO"/>
        </w:rPr>
      </w:pPr>
      <w:r w:rsidRPr="5C4C4A36">
        <w:rPr>
          <w:b/>
          <w:bCs/>
          <w:i/>
          <w:iCs/>
          <w:color w:val="C45911" w:themeColor="accent2" w:themeShade="BF"/>
          <w:lang w:val="nb-NO"/>
        </w:rPr>
        <w:t xml:space="preserve">Relevans: </w:t>
      </w:r>
      <w:r w:rsidRPr="5C4C4A36">
        <w:rPr>
          <w:i/>
          <w:iCs/>
          <w:color w:val="C45911" w:themeColor="accent2" w:themeShade="BF"/>
          <w:lang w:val="nb-NO"/>
        </w:rPr>
        <w:t>Søkerinst</w:t>
      </w:r>
      <w:r w:rsidRPr="00ED7677">
        <w:rPr>
          <w:i/>
          <w:color w:val="C45911" w:themeColor="accent2" w:themeShade="BF"/>
          <w:lang w:val="nb-NO"/>
        </w:rPr>
        <w:t>itusjonen må ha en klar oppfatning av hva studentene kan bruke sin kompetanse til etter endt studium.</w:t>
      </w:r>
      <w:r w:rsidR="00CE4788" w:rsidRPr="00ED7677">
        <w:rPr>
          <w:i/>
          <w:color w:val="C45911" w:themeColor="accent2" w:themeShade="BF"/>
          <w:lang w:val="nb-NO"/>
        </w:rPr>
        <w:t xml:space="preserve"> </w:t>
      </w:r>
      <w:r w:rsidR="00CE4788" w:rsidRPr="5C4C4A36">
        <w:rPr>
          <w:i/>
          <w:iCs/>
          <w:color w:val="C45911" w:themeColor="accent2" w:themeShade="BF"/>
          <w:lang w:val="nb-NO"/>
        </w:rPr>
        <w:t>I de tilfellene der studiet skal være relevant for videre studier, er det viktig å ha en realistisk og konkret beskrivelse av dette som blir formidlet til studentene. En slik beskrivelse bør bygge på god kommunikasjon med aktuelle utdanningsinstitusjoner hvor studentene vil kunne søke opptak om videre studier, eller med aktører i arbeidslivet.</w:t>
      </w:r>
      <w:r w:rsidR="00D84159">
        <w:rPr>
          <w:i/>
          <w:iCs/>
          <w:color w:val="C45911" w:themeColor="accent2" w:themeShade="BF"/>
          <w:lang w:val="nb-NO"/>
        </w:rPr>
        <w:t xml:space="preserve"> </w:t>
      </w:r>
      <w:r w:rsidR="00CE4788" w:rsidRPr="5C4C4A36">
        <w:rPr>
          <w:i/>
          <w:iCs/>
          <w:color w:val="C45911" w:themeColor="accent2" w:themeShade="BF"/>
          <w:lang w:val="nb-NO"/>
        </w:rPr>
        <w:t>Det at studiet skal ha «... relevans for» kan gis forskjellig betydning. Relevans dreier seg på en side om i hvilken grad tilbudte utdanninger fyller arbeids- og samfunnslivets behov, men tar også høyde for at kunnskapsutviklingen i akademia er med på å forme fremtidige behov. I tillegg dreier relevans seg om hvordan studietilbudets innhold, oppbygging, undervisnings-, lærings- og vurderingsformer gir studentene et godt læringsutbytte for det arbeids- og samfunnslivet studiet sikter seg mot og/eller videre studier. Det er et stort spenn i hvordan profesjonsutdanninger og mer teoretiske utdanninger kan være relevante for arbeids- og samfunnsliv, og i hvordan de kan ha kontakt og samarbeid med dets aktører. Tilsvarende vil også dokumentasjonen på relevans variere med studiets profil.</w:t>
      </w:r>
    </w:p>
    <w:p w14:paraId="317D067B" w14:textId="77777777" w:rsidR="00492001" w:rsidRPr="00C96724" w:rsidRDefault="00492001" w:rsidP="5C4C4A36">
      <w:pPr>
        <w:rPr>
          <w:color w:val="C45911" w:themeColor="accent2" w:themeShade="BF"/>
          <w:lang w:val="nb-NO"/>
        </w:rPr>
      </w:pPr>
      <w:r w:rsidRPr="5C4C4A36">
        <w:rPr>
          <w:b/>
          <w:bCs/>
          <w:color w:val="C45911" w:themeColor="accent2" w:themeShade="BF"/>
          <w:lang w:val="nb-NO"/>
        </w:rPr>
        <w:t xml:space="preserve">Oppdatering </w:t>
      </w:r>
    </w:p>
    <w:p w14:paraId="3C2A8B56" w14:textId="32725942" w:rsidR="00492001" w:rsidRPr="00090E49" w:rsidRDefault="00492001" w:rsidP="5C4C4A36">
      <w:pPr>
        <w:rPr>
          <w:i/>
          <w:iCs/>
          <w:color w:val="C45911" w:themeColor="accent2" w:themeShade="BF"/>
          <w:lang w:val="nb-NO"/>
        </w:rPr>
      </w:pPr>
      <w:r w:rsidRPr="5C4C4A36">
        <w:rPr>
          <w:i/>
          <w:iCs/>
          <w:color w:val="C45911" w:themeColor="accent2" w:themeShade="BF"/>
          <w:lang w:val="nb-NO"/>
        </w:rPr>
        <w:t>Faglig oppdatering gjelder både studiets faglige innhold i seg selv og den relevans studietilbudet har for profesjons-, arbeids- og samfunnsliv</w:t>
      </w:r>
      <w:r w:rsidRPr="00ED7677">
        <w:rPr>
          <w:i/>
          <w:color w:val="C45911" w:themeColor="accent2" w:themeShade="BF"/>
          <w:lang w:val="nb-NO"/>
        </w:rPr>
        <w:t xml:space="preserve">. </w:t>
      </w:r>
      <w:r w:rsidR="00F90AD7" w:rsidRPr="5C4C4A36">
        <w:rPr>
          <w:i/>
          <w:iCs/>
          <w:color w:val="C45911" w:themeColor="accent2" w:themeShade="BF"/>
          <w:lang w:val="nb-NO"/>
        </w:rPr>
        <w:t>Det er institusjonene som selv bestemmer hvordan de jobber med å sikre faglig oppdaterte studier</w:t>
      </w:r>
      <w:r w:rsidR="00F90AD7" w:rsidRPr="00ED7677">
        <w:rPr>
          <w:i/>
          <w:color w:val="C45911" w:themeColor="accent2" w:themeShade="BF"/>
          <w:lang w:val="nb-NO"/>
        </w:rPr>
        <w:t>.</w:t>
      </w:r>
    </w:p>
    <w:p w14:paraId="2706D935" w14:textId="77777777" w:rsidR="007B2315" w:rsidRPr="007B2315" w:rsidRDefault="00090E49" w:rsidP="5C4C4A36">
      <w:pPr>
        <w:rPr>
          <w:b/>
          <w:bCs/>
          <w:i/>
          <w:iCs/>
          <w:color w:val="C45911" w:themeColor="accent2" w:themeShade="BF"/>
          <w:lang w:val="nb-NO"/>
        </w:rPr>
      </w:pPr>
      <w:r w:rsidRPr="5C4C4A36">
        <w:rPr>
          <w:b/>
          <w:bCs/>
          <w:i/>
          <w:iCs/>
          <w:color w:val="C45911" w:themeColor="accent2" w:themeShade="BF"/>
          <w:lang w:val="nb-NO"/>
        </w:rPr>
        <w:t xml:space="preserve">Veiledning til </w:t>
      </w:r>
      <w:r w:rsidR="007B2315" w:rsidRPr="5C4C4A36">
        <w:rPr>
          <w:b/>
          <w:bCs/>
          <w:i/>
          <w:iCs/>
          <w:color w:val="C45911" w:themeColor="accent2" w:themeShade="BF"/>
          <w:lang w:val="nb-NO"/>
        </w:rPr>
        <w:t xml:space="preserve">§ 3-2.Akkreditering av mastergradsstudier </w:t>
      </w:r>
    </w:p>
    <w:p w14:paraId="775A038E" w14:textId="2596D8C6" w:rsidR="00C958D2" w:rsidRPr="00090E49" w:rsidRDefault="00C958D2" w:rsidP="5C4C4A36">
      <w:pPr>
        <w:rPr>
          <w:i/>
          <w:iCs/>
          <w:color w:val="C45911" w:themeColor="accent2" w:themeShade="BF"/>
          <w:lang w:val="nb-NO"/>
        </w:rPr>
      </w:pPr>
      <w:r w:rsidRPr="5C4C4A36">
        <w:rPr>
          <w:i/>
          <w:iCs/>
          <w:color w:val="C45911" w:themeColor="accent2" w:themeShade="BF"/>
          <w:lang w:val="nb-NO"/>
        </w:rPr>
        <w:t>Avgrensingen av mastergradsstudiet skal komme tydelig frem gjennom en beskrivelse av fag, disipliner og kunnskapsområder studiet omfatter. I noen tilfeller kan det være nødvendig å tydeliggjøre hva studiet ikke omfatter. Studiets profil og mulige spesialiseringer må beskrives slik at studiets bredde kommer tydelig frem.</w:t>
      </w:r>
      <w:r w:rsidR="00090E49" w:rsidRPr="5C4C4A36">
        <w:rPr>
          <w:i/>
          <w:iCs/>
          <w:color w:val="C45911" w:themeColor="accent2" w:themeShade="BF"/>
          <w:lang w:val="nb-NO"/>
        </w:rPr>
        <w:t xml:space="preserve"> </w:t>
      </w:r>
      <w:r w:rsidRPr="5C4C4A36">
        <w:rPr>
          <w:i/>
          <w:iCs/>
          <w:color w:val="C45911" w:themeColor="accent2" w:themeShade="BF"/>
          <w:lang w:val="nb-NO"/>
        </w:rPr>
        <w:t>NOKUTs sakkyndige vil i hvert enkelt tilfelle vurdere hva som anses for å være tilstrekkelig faglig bredde.</w:t>
      </w:r>
    </w:p>
    <w:p w14:paraId="473033FD" w14:textId="77777777" w:rsidR="00492001" w:rsidRDefault="00492001" w:rsidP="00492001">
      <w:pPr>
        <w:pStyle w:val="Heading2"/>
        <w:rPr>
          <w:sz w:val="22"/>
          <w:szCs w:val="22"/>
        </w:rPr>
      </w:pPr>
      <w:bookmarkStart w:id="6" w:name="_Toc31113855"/>
      <w:r w:rsidRPr="5990D8B9">
        <w:t>Arbeidsomfang</w:t>
      </w:r>
      <w:bookmarkEnd w:id="6"/>
    </w:p>
    <w:tbl>
      <w:tblPr>
        <w:tblStyle w:val="TableGrid"/>
        <w:tblW w:w="0" w:type="auto"/>
        <w:tblLayout w:type="fixed"/>
        <w:tblLook w:val="06A0" w:firstRow="1" w:lastRow="0" w:firstColumn="1" w:lastColumn="0" w:noHBand="1" w:noVBand="1"/>
      </w:tblPr>
      <w:tblGrid>
        <w:gridCol w:w="9360"/>
      </w:tblGrid>
      <w:tr w:rsidR="00492001" w:rsidRPr="00ED7677" w14:paraId="0E058E2D" w14:textId="77777777" w:rsidTr="5C4C4A36">
        <w:tc>
          <w:tcPr>
            <w:tcW w:w="9360" w:type="dxa"/>
          </w:tcPr>
          <w:p w14:paraId="1F475145" w14:textId="77777777" w:rsidR="00492001" w:rsidRDefault="00492001" w:rsidP="001C2291">
            <w:pPr>
              <w:pStyle w:val="Heading4"/>
              <w:outlineLvl w:val="3"/>
              <w:rPr>
                <w:rFonts w:eastAsia="Arial"/>
                <w:lang w:val="nb-NO"/>
              </w:rPr>
            </w:pPr>
            <w:r w:rsidRPr="5990D8B9">
              <w:rPr>
                <w:rFonts w:cstheme="minorBidi"/>
                <w:color w:val="auto"/>
                <w:lang w:val="nb-NO"/>
              </w:rPr>
              <w:t xml:space="preserve">§ 2-2 Krav til studietilbudet (3): </w:t>
            </w:r>
            <w:r w:rsidRPr="5990D8B9">
              <w:rPr>
                <w:rFonts w:eastAsia="Arial"/>
                <w:lang w:val="nb-NO"/>
              </w:rPr>
              <w:t>Studietilbudets samlede arbeidsomfang skal være på 1500–1800 timer per år for heltidsstudier.</w:t>
            </w:r>
          </w:p>
        </w:tc>
      </w:tr>
    </w:tbl>
    <w:p w14:paraId="4465AE71" w14:textId="55BDD637" w:rsidR="413D24D0" w:rsidRDefault="4ED170DA" w:rsidP="5C4C4A36">
      <w:pPr>
        <w:rPr>
          <w:i/>
          <w:iCs/>
          <w:color w:val="C45911" w:themeColor="accent2" w:themeShade="BF"/>
          <w:lang w:val="nb-NO"/>
        </w:rPr>
      </w:pPr>
      <w:r w:rsidRPr="5C4C4A36">
        <w:rPr>
          <w:rFonts w:eastAsia="Arial"/>
          <w:i/>
          <w:iCs/>
          <w:color w:val="C45911" w:themeColor="accent2" w:themeShade="BF"/>
          <w:lang w:val="nb-NO"/>
        </w:rPr>
        <w:t>Veiledning fra NOKUT:</w:t>
      </w:r>
    </w:p>
    <w:p w14:paraId="768344E9" w14:textId="77777777" w:rsidR="002C46D8" w:rsidRPr="002C46D8" w:rsidRDefault="002C46D8" w:rsidP="5C4C4A36">
      <w:pPr>
        <w:rPr>
          <w:i/>
          <w:iCs/>
          <w:color w:val="C45911" w:themeColor="accent2" w:themeShade="BF"/>
          <w:lang w:val="nb-NO"/>
        </w:rPr>
      </w:pPr>
      <w:r w:rsidRPr="5C4C4A36">
        <w:rPr>
          <w:i/>
          <w:iCs/>
          <w:color w:val="C45911" w:themeColor="accent2" w:themeShade="BF"/>
          <w:lang w:val="nb-NO"/>
        </w:rPr>
        <w:t>Det følger av universitets- og høyskoleloven § 3-8 (1) at et fullt studieår er normert til 60 studiepoeng. Dette er i samsvar med European Credit Transfer and Accumulation System (ECTS). ECTS Users’ Guide viser til at et studietilbud av 60 studiepoengs omfang på fulltid normalt har et samlet arbeidsomfang på om lag 1500–1800 timer per år, fordelt på kategoriene organiserte lærings- aktiviteter, selvstudium og eksamensforberedelser. Dette innebærer at en heltidsstudent med oppgitt arbeidsomfang/arbeidsinnsats normalt skal kunne oppnå læringsutbyttet og fullføre på normert tid.</w:t>
      </w:r>
    </w:p>
    <w:p w14:paraId="352F5345" w14:textId="01E6C90A" w:rsidR="00F17967" w:rsidRPr="00800963" w:rsidRDefault="00800963" w:rsidP="5C4C4A36">
      <w:pPr>
        <w:rPr>
          <w:i/>
          <w:iCs/>
          <w:color w:val="C45911" w:themeColor="accent2" w:themeShade="BF"/>
          <w:lang w:val="nb-NO"/>
        </w:rPr>
      </w:pPr>
      <w:r w:rsidRPr="5C4C4A36">
        <w:rPr>
          <w:i/>
          <w:iCs/>
          <w:color w:val="C45911" w:themeColor="accent2" w:themeShade="BF"/>
          <w:lang w:val="nb-NO"/>
        </w:rPr>
        <w:t>A</w:t>
      </w:r>
      <w:r w:rsidR="00F17967" w:rsidRPr="5C4C4A36">
        <w:rPr>
          <w:i/>
          <w:iCs/>
          <w:color w:val="C45911" w:themeColor="accent2" w:themeShade="BF"/>
          <w:lang w:val="nb-NO"/>
        </w:rPr>
        <w:t xml:space="preserve">rbeidsomfang er en beregning av hvor mye tid den typiske student bruker for å fullføre ulike faglige aktiviteter som kreves for å nå læringsutbyttet. En slik beregning skal inkludere selvstudium, eksamensforberedelser og organiserte læringsaktiviteter. Hvilke læringsaktiviteter et studium inneholder vil variere, men noen eksempler kan være forelesninger, seminarundervisning, laboratoriearbeid, veiledning og praksis. Hvor mye selvstudium det legges opp til i et studietilbud, vil variere med studiets profil. Søkeren skal vise at det er sikret en balanse mellom selvstudium og organiserte læringsaktiviteter i studiet, som vil gjøre det mulig for studentene å oppnå læringsutbyttet. </w:t>
      </w:r>
    </w:p>
    <w:p w14:paraId="0CDC7E52" w14:textId="77777777" w:rsidR="00800963" w:rsidRPr="00800963" w:rsidRDefault="00800963" w:rsidP="5C4C4A36">
      <w:pPr>
        <w:rPr>
          <w:i/>
          <w:iCs/>
          <w:color w:val="C45911" w:themeColor="accent2" w:themeShade="BF"/>
          <w:lang w:val="nb-NO"/>
        </w:rPr>
      </w:pPr>
      <w:r w:rsidRPr="5C4C4A36">
        <w:rPr>
          <w:i/>
          <w:iCs/>
          <w:color w:val="C45911" w:themeColor="accent2" w:themeShade="BF"/>
          <w:lang w:val="nb-NO"/>
        </w:rPr>
        <w:t>Informasjon i søknaden skal minst inneholde:</w:t>
      </w:r>
    </w:p>
    <w:p w14:paraId="5144C68D" w14:textId="5668C864" w:rsidR="00492001" w:rsidRPr="00800963" w:rsidRDefault="00492001" w:rsidP="5C4C4A36">
      <w:pPr>
        <w:rPr>
          <w:i/>
          <w:iCs/>
          <w:color w:val="C45911" w:themeColor="accent2" w:themeShade="BF"/>
          <w:lang w:val="nb-NO"/>
        </w:rPr>
      </w:pPr>
      <w:r w:rsidRPr="5C4C4A36">
        <w:rPr>
          <w:i/>
          <w:iCs/>
          <w:color w:val="C45911" w:themeColor="accent2" w:themeShade="BF"/>
          <w:lang w:val="nb-NO"/>
        </w:rPr>
        <w:t xml:space="preserve">Beskrivelse av studentenes arbeidsomfang i studiet per semester totalt, samt fordelt på kategoriene organiserte læringsaktiviteter, selvstudium og eksamensforberedelse. Dette kan gjerne illustreres i en tabell. Beskrivelsen må vise at arbeidsomfanget er tilpasset studietilbudets profil og læringsutbytte. </w:t>
      </w:r>
    </w:p>
    <w:p w14:paraId="5681E59D" w14:textId="77777777" w:rsidR="00492001" w:rsidRDefault="00492001" w:rsidP="00492001">
      <w:pPr>
        <w:rPr>
          <w:highlight w:val="cyan"/>
          <w:lang w:val="nb-NO"/>
        </w:rPr>
      </w:pPr>
    </w:p>
    <w:p w14:paraId="5052A26F" w14:textId="77777777" w:rsidR="00492001" w:rsidRDefault="00492001" w:rsidP="00492001">
      <w:pPr>
        <w:pStyle w:val="Heading2"/>
        <w:rPr>
          <w:highlight w:val="cyan"/>
          <w:lang w:val="nb-NO"/>
        </w:rPr>
      </w:pPr>
      <w:bookmarkStart w:id="7" w:name="_Toc31113856"/>
      <w:r w:rsidRPr="26311EA4">
        <w:rPr>
          <w:lang w:val="nb-NO"/>
        </w:rPr>
        <w:t>Kobling til forskning</w:t>
      </w:r>
      <w:bookmarkEnd w:id="7"/>
    </w:p>
    <w:tbl>
      <w:tblPr>
        <w:tblStyle w:val="TableGrid"/>
        <w:tblW w:w="0" w:type="auto"/>
        <w:tblLayout w:type="fixed"/>
        <w:tblLook w:val="06A0" w:firstRow="1" w:lastRow="0" w:firstColumn="1" w:lastColumn="0" w:noHBand="1" w:noVBand="1"/>
      </w:tblPr>
      <w:tblGrid>
        <w:gridCol w:w="9360"/>
      </w:tblGrid>
      <w:tr w:rsidR="00492001" w:rsidRPr="00ED7677" w14:paraId="4544DF96" w14:textId="77777777" w:rsidTr="5C4C4A36">
        <w:tc>
          <w:tcPr>
            <w:tcW w:w="9360" w:type="dxa"/>
          </w:tcPr>
          <w:p w14:paraId="0D2E5378" w14:textId="77777777" w:rsidR="00492001" w:rsidRDefault="00492001" w:rsidP="001C2291">
            <w:pPr>
              <w:pStyle w:val="Heading4"/>
              <w:outlineLvl w:val="3"/>
              <w:rPr>
                <w:rFonts w:eastAsia="Arial"/>
                <w:lang w:val="nb-NO"/>
              </w:rPr>
            </w:pPr>
            <w:r w:rsidRPr="5990D8B9">
              <w:rPr>
                <w:rFonts w:cstheme="minorBidi"/>
                <w:color w:val="auto"/>
                <w:lang w:val="nb-NO"/>
              </w:rPr>
              <w:t>§ 2-2 Krav til studietilbudet (6):</w:t>
            </w:r>
            <w:r w:rsidRPr="5990D8B9">
              <w:rPr>
                <w:rFonts w:eastAsia="Arial"/>
                <w:lang w:val="nb-NO"/>
              </w:rPr>
              <w:t xml:space="preserve"> Studietilbudet skal ha relevant kobling til forskning og/eller kunstnerisk utviklingsarbeid og faglig utviklingsarbeid.</w:t>
            </w:r>
          </w:p>
        </w:tc>
      </w:tr>
    </w:tbl>
    <w:p w14:paraId="7D5CB6BA" w14:textId="64C62790" w:rsidR="00492001" w:rsidRPr="00C96724" w:rsidRDefault="76854737" w:rsidP="5C4C4A36">
      <w:pPr>
        <w:rPr>
          <w:color w:val="C45911" w:themeColor="accent2" w:themeShade="BF"/>
          <w:lang w:val="nb-NO"/>
        </w:rPr>
      </w:pPr>
      <w:r w:rsidRPr="5C4C4A36">
        <w:rPr>
          <w:rFonts w:eastAsia="Arial"/>
          <w:i/>
          <w:iCs/>
          <w:color w:val="C45911" w:themeColor="accent2" w:themeShade="BF"/>
          <w:lang w:val="nb-NO"/>
        </w:rPr>
        <w:t>Veiledning fra NOKUT:</w:t>
      </w:r>
      <w:r w:rsidRPr="5C4C4A36">
        <w:rPr>
          <w:color w:val="C45911" w:themeColor="accent2" w:themeShade="BF"/>
          <w:lang w:val="nb-NO"/>
        </w:rPr>
        <w:t xml:space="preserve"> </w:t>
      </w:r>
    </w:p>
    <w:p w14:paraId="5148731F" w14:textId="544DE61F"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Forskning og kunstnerisk utviklingsarbeid er likestilt gjennom lov. Fagmiljøets forskning og/eller kunstnerisk utviklingsarbeid, og faglig utviklingsarbeid (FoU/KU) -resultater omtales senere i denne veiledningen under § 2-3 fagmiljø. Kravet her handler først og fremst om at fagmiljøet må kunne fremvise en tilstrekkelig relevant gjensidig kobling mellom FoU/KU-virksomheten og studietilbudet, og hvordan studentene introduserer for FoU/KU i løpet av studiet. </w:t>
      </w:r>
    </w:p>
    <w:p w14:paraId="637543B4"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Hvordan selve koplingen mellom studietilbudet og FoU/KU sikres, er i stor grad avhengig av studiets nivå, omfang og egenart. Fagmiljøet kan sikre denne koplingen gjennom bruk av egne forskningsresultater, men også ved bruk av andre forskningsresultater i utdanningen. </w:t>
      </w:r>
    </w:p>
    <w:p w14:paraId="24B32942"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Informasjon i søknaden skal minst inneholde: </w:t>
      </w:r>
    </w:p>
    <w:p w14:paraId="08428CCA"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 Beskrivelse av hvordan studentene vil møte forskning og faglig og/eller kunstnerisk utviklingsarbeid gjennom studietilbudet. </w:t>
      </w:r>
    </w:p>
    <w:p w14:paraId="7C1FE39E"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 Begrunnelse for at studiet har en relevant kobling til forskning og/eller kunstnerisk utviklingsarbeid, og faglig utviklingsarbeid. </w:t>
      </w:r>
    </w:p>
    <w:p w14:paraId="6E6C141D" w14:textId="77777777" w:rsidR="00492001" w:rsidRPr="00DE1FB8" w:rsidRDefault="00492001" w:rsidP="00492001">
      <w:pPr>
        <w:rPr>
          <w:lang w:val="nb-NO"/>
        </w:rPr>
      </w:pPr>
    </w:p>
    <w:p w14:paraId="434C9625" w14:textId="77777777" w:rsidR="00492001" w:rsidRDefault="00492001" w:rsidP="00492001">
      <w:pPr>
        <w:rPr>
          <w:lang w:val="nb-NO"/>
        </w:rPr>
      </w:pPr>
      <w:bookmarkStart w:id="8" w:name="_Toc31113857"/>
      <w:r w:rsidRPr="26311EA4">
        <w:rPr>
          <w:rStyle w:val="Heading2Char"/>
          <w:lang w:val="nb-NO"/>
        </w:rPr>
        <w:t>Internasjonalisering</w:t>
      </w:r>
      <w:bookmarkEnd w:id="8"/>
    </w:p>
    <w:tbl>
      <w:tblPr>
        <w:tblStyle w:val="TableGrid"/>
        <w:tblW w:w="0" w:type="auto"/>
        <w:tblLayout w:type="fixed"/>
        <w:tblLook w:val="06A0" w:firstRow="1" w:lastRow="0" w:firstColumn="1" w:lastColumn="0" w:noHBand="1" w:noVBand="1"/>
      </w:tblPr>
      <w:tblGrid>
        <w:gridCol w:w="9360"/>
      </w:tblGrid>
      <w:tr w:rsidR="00492001" w:rsidRPr="00ED7677" w14:paraId="76849FC2" w14:textId="77777777" w:rsidTr="5C4C4A36">
        <w:tc>
          <w:tcPr>
            <w:tcW w:w="9360" w:type="dxa"/>
          </w:tcPr>
          <w:p w14:paraId="6C28DBC9" w14:textId="77777777" w:rsidR="00492001" w:rsidRDefault="00492001" w:rsidP="001C2291">
            <w:pPr>
              <w:pStyle w:val="Heading4"/>
              <w:outlineLvl w:val="3"/>
              <w:rPr>
                <w:rFonts w:eastAsia="Arial"/>
                <w:lang w:val="nb-NO"/>
              </w:rPr>
            </w:pPr>
            <w:r w:rsidRPr="5990D8B9">
              <w:rPr>
                <w:rFonts w:cstheme="minorBidi"/>
                <w:color w:val="auto"/>
                <w:lang w:val="nb-NO"/>
              </w:rPr>
              <w:t>§ 2-2 Krav til studietilbudet (7):</w:t>
            </w:r>
            <w:r w:rsidRPr="5990D8B9">
              <w:rPr>
                <w:rFonts w:eastAsia="Arial"/>
                <w:lang w:val="nb-NO"/>
              </w:rPr>
              <w:t xml:space="preserve"> Studietilbudet skal ha ordninger for internasjonalisering som er tilpasset studietilbudets nivå, omfang og egenart.</w:t>
            </w:r>
          </w:p>
        </w:tc>
      </w:tr>
    </w:tbl>
    <w:p w14:paraId="6FC3BA29" w14:textId="427EC60E" w:rsidR="413D24D0" w:rsidRDefault="4B8CCB4A" w:rsidP="5C4C4A36">
      <w:pPr>
        <w:rPr>
          <w:color w:val="C45911" w:themeColor="accent2" w:themeShade="BF"/>
          <w:lang w:val="nb-NO"/>
        </w:rPr>
      </w:pPr>
      <w:r w:rsidRPr="5C4C4A36">
        <w:rPr>
          <w:rFonts w:eastAsia="Arial"/>
          <w:i/>
          <w:iCs/>
          <w:color w:val="C45911" w:themeColor="accent2" w:themeShade="BF"/>
          <w:lang w:val="nb-NO"/>
        </w:rPr>
        <w:t>Veiledning fra NOKUT:</w:t>
      </w:r>
    </w:p>
    <w:p w14:paraId="4F18578C" w14:textId="77777777" w:rsidR="00492001" w:rsidRPr="00E12641" w:rsidRDefault="00492001" w:rsidP="5C4C4A36">
      <w:pPr>
        <w:rPr>
          <w:i/>
          <w:iCs/>
          <w:color w:val="C45911" w:themeColor="accent2" w:themeShade="BF"/>
          <w:lang w:val="nb-NO"/>
        </w:rPr>
      </w:pPr>
      <w:r w:rsidRPr="5C4C4A36">
        <w:rPr>
          <w:i/>
          <w:iCs/>
          <w:color w:val="C45911" w:themeColor="accent2" w:themeShade="BF"/>
          <w:lang w:val="nb-NO"/>
        </w:rPr>
        <w:t xml:space="preserve">Kravet innebærer at studietilbudet settes i en internasjonal kontekst og at studentene på denne måten eksponeres for et mangfold av perspektiver. </w:t>
      </w:r>
    </w:p>
    <w:p w14:paraId="73E3673B"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Studenter på ulikt nivå i studiene vil erfare den internasjonale dimensjonen forskjellig, den vil også variere fra fagområde til fagområde. Kravet er at søkerne må tydeliggjøre fagenes internasjonale dimensjoner, og det åpnes for at dette kan skje på ulike måter. </w:t>
      </w:r>
    </w:p>
    <w:p w14:paraId="75FC264F" w14:textId="77777777" w:rsidR="00492001" w:rsidRPr="00E12641" w:rsidRDefault="00492001" w:rsidP="5C4C4A36">
      <w:pPr>
        <w:rPr>
          <w:i/>
          <w:iCs/>
          <w:color w:val="C45911" w:themeColor="accent2" w:themeShade="BF"/>
          <w:lang w:val="nb-NO"/>
        </w:rPr>
      </w:pPr>
      <w:r w:rsidRPr="5C4C4A36">
        <w:rPr>
          <w:i/>
          <w:iCs/>
          <w:color w:val="C45911" w:themeColor="accent2" w:themeShade="BF"/>
          <w:lang w:val="nb-NO"/>
        </w:rPr>
        <w:t>Ordninger for internasjonalisering er de tiltakene som kan utledes fra institusjonens strategi og handlingsplan for å realisere sine internasjonale ambisjoner. I dette tilfellet er studietilbudet sentrum for internasjonalisering og ordningene kan omfatte en rekke aktiviteter slik som bruk av internasjonal litteratur, internasjonale gjesteforelesere, utenlandske studenter på innveksling eller studenters deltakelse på internasjonale konferanser eller workshops (listen er ikke uttømmende).</w:t>
      </w:r>
    </w:p>
    <w:p w14:paraId="6556A9D8" w14:textId="77777777" w:rsidR="00492001" w:rsidRDefault="00492001" w:rsidP="00492001">
      <w:pPr>
        <w:pStyle w:val="Heading3"/>
        <w:rPr>
          <w:rFonts w:eastAsia="Arial"/>
          <w:lang w:val="nb-NO"/>
        </w:rPr>
      </w:pPr>
    </w:p>
    <w:tbl>
      <w:tblPr>
        <w:tblStyle w:val="TableGrid"/>
        <w:tblW w:w="0" w:type="auto"/>
        <w:tblLayout w:type="fixed"/>
        <w:tblLook w:val="06A0" w:firstRow="1" w:lastRow="0" w:firstColumn="1" w:lastColumn="0" w:noHBand="1" w:noVBand="1"/>
      </w:tblPr>
      <w:tblGrid>
        <w:gridCol w:w="9360"/>
      </w:tblGrid>
      <w:tr w:rsidR="00492001" w:rsidRPr="00443D6F" w14:paraId="581DBDE6" w14:textId="77777777" w:rsidTr="5C4C4A36">
        <w:tc>
          <w:tcPr>
            <w:tcW w:w="9360" w:type="dxa"/>
          </w:tcPr>
          <w:p w14:paraId="48BEBB21" w14:textId="77777777" w:rsidR="00492001" w:rsidRDefault="00492001" w:rsidP="001C2291">
            <w:pPr>
              <w:pStyle w:val="Heading4"/>
              <w:outlineLvl w:val="3"/>
              <w:rPr>
                <w:rFonts w:eastAsia="Arial"/>
                <w:lang w:val="nb-NO"/>
              </w:rPr>
            </w:pPr>
            <w:r w:rsidRPr="5990D8B9">
              <w:rPr>
                <w:rFonts w:cstheme="minorBidi"/>
                <w:color w:val="auto"/>
                <w:lang w:val="nb-NO"/>
              </w:rPr>
              <w:t>§ 2-2 Krav til studietilbudet (8):</w:t>
            </w:r>
            <w:r w:rsidRPr="5990D8B9">
              <w:rPr>
                <w:rFonts w:eastAsia="Arial"/>
                <w:lang w:val="nb-NO"/>
              </w:rPr>
              <w:t xml:space="preserve"> Studietilbud som fører fram til en grad, skal ha ordninger for internasjonal studentutveksling. Innholdet i utvekslingen skal være faglig relevant.</w:t>
            </w:r>
          </w:p>
        </w:tc>
      </w:tr>
    </w:tbl>
    <w:p w14:paraId="39A16FE6" w14:textId="6BFAB511" w:rsidR="00566776" w:rsidRDefault="0445A2BB" w:rsidP="5C4C4A36">
      <w:pPr>
        <w:rPr>
          <w:color w:val="C45911" w:themeColor="accent2" w:themeShade="BF"/>
          <w:lang w:val="nb-NO"/>
        </w:rPr>
      </w:pPr>
      <w:r w:rsidRPr="5C4C4A36">
        <w:rPr>
          <w:rFonts w:eastAsia="Arial"/>
          <w:i/>
          <w:iCs/>
          <w:color w:val="C45911" w:themeColor="accent2" w:themeShade="BF"/>
          <w:lang w:val="nb-NO"/>
        </w:rPr>
        <w:t>Veiledning fra NOKUT:</w:t>
      </w:r>
      <w:r w:rsidRPr="5C4C4A36">
        <w:rPr>
          <w:i/>
          <w:iCs/>
          <w:color w:val="C45911" w:themeColor="accent2" w:themeShade="BF"/>
          <w:lang w:val="nb-NO"/>
        </w:rPr>
        <w:t xml:space="preserve"> </w:t>
      </w:r>
    </w:p>
    <w:p w14:paraId="19EE7AF8" w14:textId="60C8F855" w:rsidR="00566776" w:rsidRDefault="00566776" w:rsidP="5C4C4A36">
      <w:pPr>
        <w:rPr>
          <w:i/>
          <w:iCs/>
          <w:color w:val="C45911" w:themeColor="accent2" w:themeShade="BF"/>
          <w:lang w:val="nb-NO"/>
        </w:rPr>
      </w:pPr>
      <w:r w:rsidRPr="5C4C4A36">
        <w:rPr>
          <w:i/>
          <w:iCs/>
          <w:color w:val="C45911" w:themeColor="accent2" w:themeShade="BF"/>
          <w:lang w:val="nb-NO"/>
        </w:rPr>
        <w:t>Bestemmelsen innebærer at institusjonen skal sikre at studenter ved alle studietilbud som fører fram til en grad, kan tilbys utvekslingsopphold gjennom oppdaterte og bindende avtaler, og at relevansen av utvekslingsoppholdet er sikret av studietilbudets fagmiljø.</w:t>
      </w:r>
    </w:p>
    <w:p w14:paraId="2052A855" w14:textId="77777777" w:rsidR="00567AF4" w:rsidRPr="00567AF4" w:rsidRDefault="00567AF4" w:rsidP="5C4C4A36">
      <w:pPr>
        <w:rPr>
          <w:i/>
          <w:iCs/>
          <w:color w:val="C45911" w:themeColor="accent2" w:themeShade="BF"/>
          <w:lang w:val="nb-NO"/>
        </w:rPr>
      </w:pPr>
      <w:r w:rsidRPr="5C4C4A36">
        <w:rPr>
          <w:i/>
          <w:iCs/>
          <w:color w:val="C45911" w:themeColor="accent2" w:themeShade="BF"/>
          <w:lang w:val="nb-NO"/>
        </w:rPr>
        <w:t>Kravet om å tilby studentutveksling gjelder for alle gradsgivende studietilbud (høgskolekandidat, bachelor, master og ph.d). Kravet gjelder ikke for kortere studier. I de tilfellene der flere korte studietilbud kan settes sammen til et gradsstudium, gjelder kravet til at det skal finnes utvekslingsavtaler som er faglig relevante for studietilbudet som helhet.</w:t>
      </w:r>
    </w:p>
    <w:p w14:paraId="7DBFD4DC" w14:textId="77777777" w:rsidR="00567AF4" w:rsidRPr="00567AF4" w:rsidRDefault="00567AF4" w:rsidP="5C4C4A36">
      <w:pPr>
        <w:rPr>
          <w:i/>
          <w:iCs/>
          <w:color w:val="C45911" w:themeColor="accent2" w:themeShade="BF"/>
          <w:lang w:val="nb-NO"/>
        </w:rPr>
      </w:pPr>
      <w:r w:rsidRPr="5C4C4A36">
        <w:rPr>
          <w:i/>
          <w:iCs/>
          <w:color w:val="C45911" w:themeColor="accent2" w:themeShade="BF"/>
          <w:lang w:val="nb-NO"/>
        </w:rPr>
        <w:t>Det er ikke et krav om at avtalene skal være på studietilbudsnivå. Avtalene kan være på institusjon/fakultet/institutt-nivå eller lignende, så lenge de er relevante. Det er ingen krav til lengde på utvekslingen.</w:t>
      </w:r>
    </w:p>
    <w:p w14:paraId="58D02CBB" w14:textId="1E1098BA" w:rsidR="00566776" w:rsidRPr="00567AF4" w:rsidRDefault="00567AF4" w:rsidP="5C4C4A36">
      <w:pPr>
        <w:rPr>
          <w:i/>
          <w:iCs/>
          <w:color w:val="C45911" w:themeColor="accent2" w:themeShade="BF"/>
          <w:lang w:val="nb-NO"/>
        </w:rPr>
      </w:pPr>
      <w:r w:rsidRPr="5C4C4A36">
        <w:rPr>
          <w:i/>
          <w:iCs/>
          <w:color w:val="C45911" w:themeColor="accent2" w:themeShade="BF"/>
          <w:lang w:val="nb-NO"/>
        </w:rPr>
        <w:t>Utveksling må skje i løpet av ordinær studietid, og institusjonen må sørge for at utveksling kan innpasses i studiet. Dette handler om å legge opp studentutvekslingen slik at det blir forutsigbart for studentene. Selv om avtalene ikke må være på studietilbudsnivå, er det et krav at studietilbudets fagmiljø sikrer at den enkelte students utveksling er faglig relevant.</w:t>
      </w:r>
    </w:p>
    <w:p w14:paraId="298DB6D9" w14:textId="77777777" w:rsidR="00492001" w:rsidRDefault="00492001" w:rsidP="00492001">
      <w:pPr>
        <w:rPr>
          <w:lang w:val="nb-NO"/>
        </w:rPr>
      </w:pPr>
      <w:bookmarkStart w:id="9" w:name="_Toc31113858"/>
      <w:r w:rsidRPr="26311EA4">
        <w:rPr>
          <w:rStyle w:val="Heading2Char"/>
          <w:lang w:val="nb-NO"/>
        </w:rPr>
        <w:t>Praksis</w:t>
      </w:r>
      <w:bookmarkEnd w:id="9"/>
    </w:p>
    <w:tbl>
      <w:tblPr>
        <w:tblStyle w:val="TableGrid"/>
        <w:tblW w:w="0" w:type="auto"/>
        <w:tblLayout w:type="fixed"/>
        <w:tblLook w:val="06A0" w:firstRow="1" w:lastRow="0" w:firstColumn="1" w:lastColumn="0" w:noHBand="1" w:noVBand="1"/>
      </w:tblPr>
      <w:tblGrid>
        <w:gridCol w:w="9360"/>
      </w:tblGrid>
      <w:tr w:rsidR="00492001" w:rsidRPr="00ED7677" w14:paraId="24FD4D49" w14:textId="77777777" w:rsidTr="5C4C4A36">
        <w:tc>
          <w:tcPr>
            <w:tcW w:w="9360" w:type="dxa"/>
          </w:tcPr>
          <w:p w14:paraId="3CAC5A0E" w14:textId="77777777" w:rsidR="00492001" w:rsidRDefault="00492001" w:rsidP="001C2291">
            <w:pPr>
              <w:pStyle w:val="Heading4"/>
              <w:outlineLvl w:val="3"/>
              <w:rPr>
                <w:rFonts w:eastAsia="Arial"/>
                <w:lang w:val="nb-NO"/>
              </w:rPr>
            </w:pPr>
            <w:r w:rsidRPr="5990D8B9">
              <w:rPr>
                <w:rFonts w:cstheme="minorBidi"/>
                <w:color w:val="auto"/>
                <w:lang w:val="nb-NO"/>
              </w:rPr>
              <w:t>§ 2-2 Krav til studietilbudet (9):</w:t>
            </w:r>
            <w:r w:rsidRPr="5990D8B9">
              <w:rPr>
                <w:rFonts w:eastAsia="Arial"/>
                <w:lang w:val="nb-NO"/>
              </w:rPr>
              <w:t xml:space="preserve"> For studietilbud med praksis skal det foreligge praksisavtale mellom institusjon og praksissted.</w:t>
            </w:r>
          </w:p>
          <w:p w14:paraId="3B079FE8" w14:textId="77777777" w:rsidR="00492001" w:rsidRDefault="00492001" w:rsidP="001C2291">
            <w:pPr>
              <w:rPr>
                <w:lang w:val="nb-NO"/>
              </w:rPr>
            </w:pPr>
          </w:p>
          <w:p w14:paraId="2E8E5270" w14:textId="77777777" w:rsidR="00492001" w:rsidRDefault="00492001" w:rsidP="001C2291">
            <w:pPr>
              <w:pStyle w:val="Heading4"/>
              <w:outlineLvl w:val="3"/>
              <w:rPr>
                <w:lang w:val="nb-NO"/>
              </w:rPr>
            </w:pPr>
            <w:r w:rsidRPr="5990D8B9">
              <w:rPr>
                <w:rFonts w:eastAsia="Arial"/>
                <w:color w:val="auto"/>
                <w:lang w:val="nb-NO"/>
              </w:rPr>
              <w:t>§2-3 Krav til fagmiljø (7):</w:t>
            </w:r>
            <w:r w:rsidRPr="5990D8B9">
              <w:rPr>
                <w:rFonts w:eastAsia="Arial"/>
                <w:lang w:val="nb-NO"/>
              </w:rPr>
              <w:t xml:space="preserve"> For studietilbud med obligatorisk praksis skal fagmiljøet tilknyttet studietilbudet ha relevant og oppdatert kunnskap fra praksisfeltet. Institusjonen må sikre at praksisveilederne har relevant kompetanse og erfaring fra praksisfeltet.</w:t>
            </w:r>
          </w:p>
        </w:tc>
      </w:tr>
    </w:tbl>
    <w:p w14:paraId="42E5B31E" w14:textId="6BFAB511" w:rsidR="413D24D0" w:rsidRDefault="664F5C34" w:rsidP="5C4C4A36">
      <w:pPr>
        <w:rPr>
          <w:color w:val="C45911" w:themeColor="accent2" w:themeShade="BF"/>
          <w:lang w:val="nb-NO"/>
        </w:rPr>
      </w:pPr>
      <w:r w:rsidRPr="5C4C4A36">
        <w:rPr>
          <w:rFonts w:eastAsia="Arial"/>
          <w:i/>
          <w:iCs/>
          <w:color w:val="C45911" w:themeColor="accent2" w:themeShade="BF"/>
          <w:lang w:val="nb-NO"/>
        </w:rPr>
        <w:t>Veiledning fra NOKUT:</w:t>
      </w:r>
      <w:r w:rsidRPr="5C4C4A36">
        <w:rPr>
          <w:i/>
          <w:iCs/>
          <w:color w:val="C45911" w:themeColor="accent2" w:themeShade="BF"/>
          <w:lang w:val="nb-NO"/>
        </w:rPr>
        <w:t xml:space="preserve"> </w:t>
      </w:r>
    </w:p>
    <w:p w14:paraId="042BF5E1" w14:textId="7019ABEC" w:rsidR="0A9B6549" w:rsidRDefault="0A9B6549" w:rsidP="5C4C4A36">
      <w:pPr>
        <w:outlineLvl w:val="3"/>
        <w:rPr>
          <w:rFonts w:eastAsia="Arial"/>
          <w:b/>
          <w:bCs/>
          <w:i/>
          <w:iCs/>
          <w:color w:val="C45911" w:themeColor="accent2" w:themeShade="BF"/>
          <w:lang w:val="nb-NO"/>
        </w:rPr>
      </w:pPr>
      <w:r w:rsidRPr="5C4C4A36">
        <w:rPr>
          <w:b/>
          <w:bCs/>
          <w:i/>
          <w:iCs/>
          <w:color w:val="C45911" w:themeColor="accent2" w:themeShade="BF"/>
          <w:lang w:val="nb-NO"/>
        </w:rPr>
        <w:t>Krav til studietilbudet</w:t>
      </w:r>
    </w:p>
    <w:p w14:paraId="7E7D38D0" w14:textId="343B3895" w:rsidR="00AE3ECF" w:rsidRPr="00AE3ECF" w:rsidRDefault="00492001" w:rsidP="5C4C4A36">
      <w:pPr>
        <w:rPr>
          <w:i/>
          <w:iCs/>
          <w:color w:val="C45911" w:themeColor="accent2" w:themeShade="BF"/>
          <w:lang w:val="nb-NO"/>
        </w:rPr>
      </w:pPr>
      <w:r w:rsidRPr="5C4C4A36">
        <w:rPr>
          <w:rFonts w:ascii="Calibri" w:eastAsia="Calibri" w:hAnsi="Calibri" w:cs="Calibri"/>
          <w:i/>
          <w:iCs/>
          <w:color w:val="C45911" w:themeColor="accent2" w:themeShade="BF"/>
          <w:lang w:val="nb-NO"/>
        </w:rPr>
        <w:t xml:space="preserve"> </w:t>
      </w:r>
      <w:r w:rsidR="00AE3ECF" w:rsidRPr="5C4C4A36">
        <w:rPr>
          <w:i/>
          <w:iCs/>
          <w:color w:val="C45911" w:themeColor="accent2" w:themeShade="BF"/>
          <w:lang w:val="nb-NO"/>
        </w:rPr>
        <w:t>Avtaler skal regulere den faglige gjennomføringen av praksis og andre forhold som er av betydning for studentens læringsutbytte og for kvaliteten i praksisoppholdet. Dette innebærer blant annet at avtalen skal beskrive partenes rettigheter og plikter.</w:t>
      </w:r>
    </w:p>
    <w:p w14:paraId="73E02DAE" w14:textId="208DE454" w:rsidR="00492001" w:rsidRPr="00AE3ECF" w:rsidRDefault="00492001" w:rsidP="5C4C4A36">
      <w:pPr>
        <w:rPr>
          <w:i/>
          <w:iCs/>
          <w:color w:val="C45911" w:themeColor="accent2" w:themeShade="BF"/>
          <w:lang w:val="nb-NO"/>
        </w:rPr>
      </w:pPr>
      <w:r w:rsidRPr="5C4C4A36">
        <w:rPr>
          <w:rFonts w:eastAsia="Arial"/>
          <w:i/>
          <w:iCs/>
          <w:color w:val="C45911" w:themeColor="accent2" w:themeShade="BF"/>
          <w:lang w:val="nb-NO"/>
        </w:rPr>
        <w:t xml:space="preserve"> </w:t>
      </w:r>
      <w:r w:rsidRPr="5C4C4A36">
        <w:rPr>
          <w:i/>
          <w:iCs/>
          <w:color w:val="C45911" w:themeColor="accent2" w:themeShade="BF"/>
          <w:lang w:val="nb-NO"/>
        </w:rPr>
        <w:t xml:space="preserve">Søkerinstitusjonen har ansvar for at studenten får tilstrekkelig veiledning og oppfølging under praksis </w:t>
      </w:r>
    </w:p>
    <w:p w14:paraId="7A45691D" w14:textId="77777777" w:rsidR="00492001" w:rsidRPr="00AE3ECF" w:rsidRDefault="00492001" w:rsidP="5C4C4A36">
      <w:pPr>
        <w:rPr>
          <w:i/>
          <w:iCs/>
          <w:color w:val="C45911" w:themeColor="accent2" w:themeShade="BF"/>
          <w:lang w:val="nb-NO"/>
        </w:rPr>
      </w:pPr>
      <w:r w:rsidRPr="5C4C4A36">
        <w:rPr>
          <w:i/>
          <w:iCs/>
          <w:color w:val="C45911" w:themeColor="accent2" w:themeShade="BF"/>
          <w:lang w:val="nb-NO"/>
        </w:rPr>
        <w:t xml:space="preserve">– også på de eksterne praksisstedene. Det samme gjelder ansvaret for å sikre god kvalitet og relevans også for praksisdelen i studiet. Det skal finnes avtaler med praksisstedene som sikrer og regulerer den faglige gjennomføringen av praksis, og som muliggjør at praksis kan kvalitetssikres på samme linje som de delene av studiet som gjennomføres ved institusjonen. Avtalene skal sikre de forholdene som er viktig for at studenten skal kunne gjennomføre sitt arbeid. Det kan være studentens adgang til å oppholde seg i bedriften/på institusjonen, tilgang til materiale, informanter m.m. </w:t>
      </w:r>
    </w:p>
    <w:p w14:paraId="53DE75F2" w14:textId="77777777" w:rsidR="00492001" w:rsidRPr="00AE3ECF" w:rsidRDefault="00492001" w:rsidP="5C4C4A36">
      <w:pPr>
        <w:rPr>
          <w:i/>
          <w:iCs/>
          <w:color w:val="C45911" w:themeColor="accent2" w:themeShade="BF"/>
          <w:lang w:val="nb-NO"/>
        </w:rPr>
      </w:pPr>
      <w:r w:rsidRPr="5C4C4A36">
        <w:rPr>
          <w:i/>
          <w:iCs/>
          <w:color w:val="C45911" w:themeColor="accent2" w:themeShade="BF"/>
          <w:lang w:val="nb-NO"/>
        </w:rPr>
        <w:t>Innenfor noen fagfelt er det vanlig at det inngås rammeavtaler med kommuner om praksis. Slike rammeavtaler må suppleres med signerte praksisavtaler.</w:t>
      </w:r>
    </w:p>
    <w:p w14:paraId="0AA5F2D0" w14:textId="35795475" w:rsidR="003878DB" w:rsidRPr="00AA5D12" w:rsidRDefault="09892A7F" w:rsidP="5C4C4A36">
      <w:pPr>
        <w:outlineLvl w:val="3"/>
        <w:rPr>
          <w:b/>
          <w:bCs/>
          <w:i/>
          <w:iCs/>
          <w:color w:val="C45911" w:themeColor="accent2" w:themeShade="BF"/>
          <w:lang w:val="nb-NO"/>
        </w:rPr>
      </w:pPr>
      <w:r w:rsidRPr="5C4C4A36">
        <w:rPr>
          <w:rFonts w:eastAsia="Arial"/>
          <w:b/>
          <w:bCs/>
          <w:i/>
          <w:iCs/>
          <w:color w:val="C45911" w:themeColor="accent2" w:themeShade="BF"/>
          <w:lang w:val="nb-NO"/>
        </w:rPr>
        <w:t>Krav til fagmiljø</w:t>
      </w:r>
    </w:p>
    <w:p w14:paraId="0D6FB1AC" w14:textId="5792E00D" w:rsidR="003878DB" w:rsidRPr="00AA5D12" w:rsidRDefault="003878DB" w:rsidP="5C4C4A36">
      <w:pPr>
        <w:outlineLvl w:val="3"/>
        <w:rPr>
          <w:i/>
          <w:iCs/>
          <w:color w:val="C45911" w:themeColor="accent2" w:themeShade="BF"/>
          <w:lang w:val="nb-NO"/>
        </w:rPr>
      </w:pPr>
      <w:r w:rsidRPr="5C4C4A36">
        <w:rPr>
          <w:i/>
          <w:iCs/>
          <w:color w:val="C45911" w:themeColor="accent2" w:themeShade="BF"/>
          <w:lang w:val="nb-NO"/>
        </w:rPr>
        <w:t>Med «praksisveiledere» menes personer som legger til rette for og veileder studenten ved dennes praksisopphold. Jf. her merknader til § 2-2 (9).</w:t>
      </w:r>
      <w:r w:rsidR="77AADF52" w:rsidRPr="5C4C4A36">
        <w:rPr>
          <w:i/>
          <w:iCs/>
          <w:color w:val="C45911" w:themeColor="accent2" w:themeShade="BF"/>
          <w:lang w:val="nb-NO"/>
        </w:rPr>
        <w:t xml:space="preserve"> </w:t>
      </w:r>
      <w:r w:rsidRPr="5C4C4A36">
        <w:rPr>
          <w:i/>
          <w:iCs/>
          <w:color w:val="C45911" w:themeColor="accent2" w:themeShade="BF"/>
          <w:lang w:val="nb-NO"/>
        </w:rPr>
        <w:t>Med «relevant kompetanse» i andre setning menes relevant faglig kunnskap og veiledningskompetanse.</w:t>
      </w:r>
      <w:r w:rsidR="081AD66E" w:rsidRPr="5C4C4A36">
        <w:rPr>
          <w:i/>
          <w:iCs/>
          <w:color w:val="C45911" w:themeColor="accent2" w:themeShade="BF"/>
          <w:lang w:val="nb-NO"/>
        </w:rPr>
        <w:t xml:space="preserve"> </w:t>
      </w:r>
      <w:r w:rsidRPr="5C4C4A36">
        <w:rPr>
          <w:i/>
          <w:iCs/>
          <w:color w:val="C45911" w:themeColor="accent2" w:themeShade="BF"/>
          <w:lang w:val="nb-NO"/>
        </w:rPr>
        <w:t>I studietilbud som har praksis, forutsettes det at institusjonene og fagmiljøene selv sørger for systematisk kontakt med praksisfeltet, slik at utdanningene og fagmiljøenes egen praksiserfaring er oppdatert og i takt med utviklingen i praksisfeltet. Det er viktig for kvaliteten i studietilbudet at det jevnlig foregår en faglig interaksjon mellom kompetansepersoner i praksisfeltet og sentrale kompetansepersoner som har hovedstilling ved institusjonene.</w:t>
      </w:r>
    </w:p>
    <w:p w14:paraId="16CCEFA6" w14:textId="77777777" w:rsidR="00AA5D12" w:rsidRPr="00AA5D12" w:rsidRDefault="00AA5D12" w:rsidP="5C4C4A36">
      <w:pPr>
        <w:rPr>
          <w:i/>
          <w:iCs/>
          <w:color w:val="C45911" w:themeColor="accent2" w:themeShade="BF"/>
          <w:lang w:val="nb-NO"/>
        </w:rPr>
      </w:pPr>
      <w:r w:rsidRPr="5C4C4A36">
        <w:rPr>
          <w:i/>
          <w:iCs/>
          <w:color w:val="C45911" w:themeColor="accent2" w:themeShade="BF"/>
          <w:lang w:val="nb-NO"/>
        </w:rPr>
        <w:t>Ved å sikre at praksisveilederne har relevant kompetanse, sørger institusjonen for en relevant praksisopplæring for studentene.</w:t>
      </w:r>
    </w:p>
    <w:p w14:paraId="26C4AA83" w14:textId="62A2B37F" w:rsidR="00492001" w:rsidRPr="00AA5D12" w:rsidRDefault="00492001" w:rsidP="5C4C4A36">
      <w:pPr>
        <w:rPr>
          <w:rFonts w:ascii="Calibri" w:eastAsia="Calibri" w:hAnsi="Calibri" w:cs="Calibri"/>
          <w:i/>
          <w:iCs/>
          <w:color w:val="C45911" w:themeColor="accent2" w:themeShade="BF"/>
          <w:lang w:val="nb-NO"/>
        </w:rPr>
      </w:pPr>
      <w:r w:rsidRPr="5C4C4A36">
        <w:rPr>
          <w:rFonts w:ascii="Calibri" w:eastAsia="Calibri" w:hAnsi="Calibri" w:cs="Calibri"/>
          <w:i/>
          <w:iCs/>
          <w:color w:val="C45911" w:themeColor="accent2" w:themeShade="BF"/>
          <w:lang w:val="nb-NO"/>
        </w:rPr>
        <w:t xml:space="preserve">Fagmiljøet tilknyttet studietilbudet skal både ha relevant og oppdatert kunnskap om praksis for å sikre at studietilbudet er oppdatert i tråd med profesjonsfeltet og samfunnslivet. Dette er en forutsetning for å sikre at praksis bidrar til at studentene oppnår det forventede læringsutbyttet, at det forventede læringsutbyttet er relevant med en tilstrekkelig bevissthet om standarden i praksisfeltet, og for å bidra til å sikre studentene kvalitet i praksisdelen av studiet. Fagmiljøet ved institusjonen må selv ha praksiskunnskap for å kunne samarbeide godt med praksisfeltet og integrere/bygge bro mellom teori og praksis i utdanningen. </w:t>
      </w:r>
    </w:p>
    <w:p w14:paraId="61CE2D18" w14:textId="77777777" w:rsidR="00492001" w:rsidRPr="00AA5D12" w:rsidRDefault="00492001" w:rsidP="5C4C4A36">
      <w:pPr>
        <w:rPr>
          <w:rFonts w:ascii="Calibri" w:eastAsia="Calibri" w:hAnsi="Calibri" w:cs="Calibri"/>
          <w:i/>
          <w:iCs/>
          <w:color w:val="C45911" w:themeColor="accent2" w:themeShade="BF"/>
          <w:lang w:val="nb-NO"/>
        </w:rPr>
      </w:pPr>
      <w:r w:rsidRPr="5C4C4A36">
        <w:rPr>
          <w:rFonts w:ascii="Calibri" w:eastAsia="Calibri" w:hAnsi="Calibri" w:cs="Calibri"/>
          <w:i/>
          <w:iCs/>
          <w:color w:val="C45911" w:themeColor="accent2" w:themeShade="BF"/>
          <w:lang w:val="nb-NO"/>
        </w:rPr>
        <w:t xml:space="preserve">Informasjon i søknaden skal minst inneholde: </w:t>
      </w:r>
    </w:p>
    <w:p w14:paraId="3DA4D2D4" w14:textId="77777777" w:rsidR="00492001" w:rsidRPr="00AA5D12" w:rsidRDefault="00492001" w:rsidP="5C4C4A36">
      <w:pPr>
        <w:rPr>
          <w:rFonts w:ascii="Calibri" w:eastAsia="Calibri" w:hAnsi="Calibri" w:cs="Calibri"/>
          <w:i/>
          <w:iCs/>
          <w:color w:val="C45911" w:themeColor="accent2" w:themeShade="BF"/>
          <w:lang w:val="nb-NO"/>
        </w:rPr>
      </w:pPr>
      <w:r w:rsidRPr="5C4C4A36">
        <w:rPr>
          <w:rFonts w:ascii="Calibri" w:eastAsia="Calibri" w:hAnsi="Calibri" w:cs="Calibri"/>
          <w:i/>
          <w:iCs/>
          <w:color w:val="C45911" w:themeColor="accent2" w:themeShade="BF"/>
          <w:lang w:val="nb-NO"/>
        </w:rPr>
        <w:t xml:space="preserve">• Beskrivelse av den erfaringen og kunnskapen fagmiljøet ved søkerinstitusjonen har fra praksisfeltet og begrunnelse for hvordan denne kunnskapen holdes oppdatert. </w:t>
      </w:r>
    </w:p>
    <w:p w14:paraId="7738D213" w14:textId="77777777" w:rsidR="00492001" w:rsidRPr="00AA5D12" w:rsidRDefault="00492001" w:rsidP="5C4C4A36">
      <w:pPr>
        <w:rPr>
          <w:rFonts w:ascii="Calibri" w:eastAsia="Calibri" w:hAnsi="Calibri" w:cs="Calibri"/>
          <w:i/>
          <w:iCs/>
          <w:color w:val="C45911" w:themeColor="accent2" w:themeShade="BF"/>
          <w:lang w:val="nb-NO"/>
        </w:rPr>
      </w:pPr>
      <w:r w:rsidRPr="5C4C4A36">
        <w:rPr>
          <w:rFonts w:ascii="Calibri" w:eastAsia="Calibri" w:hAnsi="Calibri" w:cs="Calibri"/>
          <w:i/>
          <w:iCs/>
          <w:color w:val="C45911" w:themeColor="accent2" w:themeShade="BF"/>
          <w:lang w:val="nb-NO"/>
        </w:rPr>
        <w:t xml:space="preserve">• Beskrivelse av hvilken systematisk kontakt som finnes mellom fagmiljøet ved institusjonen og praksisveilederne ved praksisinstitusjon. </w:t>
      </w:r>
    </w:p>
    <w:p w14:paraId="59E0128B" w14:textId="77777777" w:rsidR="00492001" w:rsidRPr="00AA5D12" w:rsidRDefault="00492001" w:rsidP="5C4C4A36">
      <w:pPr>
        <w:rPr>
          <w:rFonts w:ascii="Calibri" w:eastAsia="Calibri" w:hAnsi="Calibri" w:cs="Calibri"/>
          <w:i/>
          <w:iCs/>
          <w:color w:val="C45911" w:themeColor="accent2" w:themeShade="BF"/>
          <w:lang w:val="nb-NO"/>
        </w:rPr>
      </w:pPr>
      <w:r w:rsidRPr="5C4C4A36">
        <w:rPr>
          <w:rFonts w:ascii="Calibri" w:eastAsia="Calibri" w:hAnsi="Calibri" w:cs="Calibri"/>
          <w:i/>
          <w:iCs/>
          <w:color w:val="C45911" w:themeColor="accent2" w:themeShade="BF"/>
          <w:lang w:val="nb-NO"/>
        </w:rPr>
        <w:t xml:space="preserve">• Beskrivelse av hvilke krav institusjonen stiller til praksisveiledernes kompetanse og erfaring fra praksisfeltet. </w:t>
      </w:r>
    </w:p>
    <w:p w14:paraId="04345137" w14:textId="77777777" w:rsidR="00492001" w:rsidRPr="00AA5D12" w:rsidRDefault="00492001" w:rsidP="5C4C4A36">
      <w:pPr>
        <w:rPr>
          <w:rFonts w:ascii="Calibri" w:eastAsia="Calibri" w:hAnsi="Calibri" w:cs="Calibri"/>
          <w:i/>
          <w:iCs/>
          <w:color w:val="C45911" w:themeColor="accent2" w:themeShade="BF"/>
          <w:lang w:val="nb-NO"/>
        </w:rPr>
      </w:pPr>
      <w:r w:rsidRPr="5C4C4A36">
        <w:rPr>
          <w:rFonts w:ascii="Calibri" w:eastAsia="Calibri" w:hAnsi="Calibri" w:cs="Calibri"/>
          <w:i/>
          <w:iCs/>
          <w:color w:val="C45911" w:themeColor="accent2" w:themeShade="BF"/>
          <w:lang w:val="nb-NO"/>
        </w:rPr>
        <w:t>• Begrunnelse for hvordan institusjonen kontinuerlig sikrer at praksisveiledernes kompetanse er relevant for studietilbudet.</w:t>
      </w:r>
    </w:p>
    <w:p w14:paraId="661C61FA" w14:textId="77777777" w:rsidR="00492001" w:rsidRDefault="00492001" w:rsidP="00492001">
      <w:pPr>
        <w:pStyle w:val="Heading2"/>
        <w:rPr>
          <w:rFonts w:eastAsia="Arial"/>
          <w:lang w:val="nb-NO"/>
        </w:rPr>
      </w:pPr>
    </w:p>
    <w:p w14:paraId="69E79A18" w14:textId="77777777" w:rsidR="00492001" w:rsidRDefault="00492001" w:rsidP="00492001">
      <w:pPr>
        <w:pStyle w:val="Heading1"/>
        <w:rPr>
          <w:lang w:val="nb-NO"/>
        </w:rPr>
      </w:pPr>
      <w:bookmarkStart w:id="10" w:name="_Toc31113859"/>
      <w:r w:rsidRPr="5990D8B9">
        <w:rPr>
          <w:lang w:val="nb-NO"/>
        </w:rPr>
        <w:t>Krav til fagmiljø i Studietilsynsforskriften</w:t>
      </w:r>
      <w:bookmarkEnd w:id="10"/>
    </w:p>
    <w:p w14:paraId="750F8898" w14:textId="77777777" w:rsidR="00492001" w:rsidRDefault="00492001" w:rsidP="00492001">
      <w:pPr>
        <w:rPr>
          <w:lang w:val="nb-NO"/>
        </w:rPr>
      </w:pPr>
      <w:r w:rsidRPr="5990D8B9">
        <w:rPr>
          <w:lang w:val="nb-NO"/>
        </w:rPr>
        <w:t>Studietilsynsforskriften kapittel 2. Akkreditering av studietilbud, § 2-3. Krav til fagmiljø</w:t>
      </w:r>
    </w:p>
    <w:p w14:paraId="6FF8356A" w14:textId="77777777" w:rsidR="00492001" w:rsidRDefault="00492001" w:rsidP="00492001">
      <w:pPr>
        <w:pStyle w:val="Heading2"/>
        <w:rPr>
          <w:lang w:val="nb-NO"/>
        </w:rPr>
      </w:pPr>
      <w:bookmarkStart w:id="11" w:name="_Toc31113860"/>
      <w:r w:rsidRPr="26311EA4">
        <w:rPr>
          <w:lang w:val="nb-NO"/>
        </w:rPr>
        <w:t>Fagmiljøets størrelse</w:t>
      </w:r>
      <w:bookmarkEnd w:id="11"/>
    </w:p>
    <w:tbl>
      <w:tblPr>
        <w:tblStyle w:val="TableGrid"/>
        <w:tblW w:w="0" w:type="auto"/>
        <w:tblLayout w:type="fixed"/>
        <w:tblLook w:val="06A0" w:firstRow="1" w:lastRow="0" w:firstColumn="1" w:lastColumn="0" w:noHBand="1" w:noVBand="1"/>
      </w:tblPr>
      <w:tblGrid>
        <w:gridCol w:w="9360"/>
      </w:tblGrid>
      <w:tr w:rsidR="00492001" w:rsidRPr="0061440E" w14:paraId="7B47142B" w14:textId="77777777" w:rsidTr="5C4C4A36">
        <w:tc>
          <w:tcPr>
            <w:tcW w:w="9360" w:type="dxa"/>
          </w:tcPr>
          <w:p w14:paraId="202609A3" w14:textId="77777777" w:rsidR="00492001" w:rsidRDefault="00492001" w:rsidP="00D84159">
            <w:pPr>
              <w:rPr>
                <w:lang w:val="nb-NO"/>
              </w:rPr>
            </w:pPr>
            <w:r w:rsidRPr="5990D8B9">
              <w:rPr>
                <w:lang w:val="nb-NO"/>
              </w:rPr>
              <w:t xml:space="preserve">§ 2-3 Krav til fagmiljø (1): </w:t>
            </w:r>
            <w:r w:rsidRPr="00D84159">
              <w:rPr>
                <w:rFonts w:asciiTheme="majorHAnsi" w:eastAsia="Arial" w:hAnsiTheme="majorHAnsi" w:cstheme="majorBidi"/>
                <w:i/>
                <w:iCs/>
                <w:color w:val="2F5496" w:themeColor="accent1" w:themeShade="BF"/>
                <w:lang w:val="nb-NO"/>
              </w:rPr>
              <w:t>Fagmiljøet tilknyttet studietilbudet skal ha en størrelse som står i forhold til antall studenter og studiets egenart, være kompetansemessig stabilt over tid og ha en sammensetning som dekker de fag og emner som inngår i studietilbudet</w:t>
            </w:r>
            <w:r w:rsidRPr="5990D8B9">
              <w:rPr>
                <w:lang w:val="nb-NO"/>
              </w:rPr>
              <w:t>.</w:t>
            </w:r>
          </w:p>
          <w:p w14:paraId="6E4C7BDE" w14:textId="77777777" w:rsidR="00492001" w:rsidRDefault="00492001" w:rsidP="00D84159">
            <w:pPr>
              <w:rPr>
                <w:lang w:val="nb-NO"/>
              </w:rPr>
            </w:pPr>
          </w:p>
          <w:p w14:paraId="0738E2B2" w14:textId="77777777" w:rsidR="00492001" w:rsidRPr="00D84159" w:rsidRDefault="00492001" w:rsidP="00D84159">
            <w:pPr>
              <w:shd w:val="clear" w:color="auto" w:fill="FFFFFF" w:themeFill="background1"/>
              <w:spacing w:line="259" w:lineRule="auto"/>
              <w:rPr>
                <w:rFonts w:asciiTheme="majorHAnsi" w:eastAsia="Arial" w:hAnsiTheme="majorHAnsi" w:cstheme="majorBidi"/>
                <w:i/>
                <w:iCs/>
                <w:color w:val="2F5496" w:themeColor="accent1" w:themeShade="BF"/>
                <w:lang w:val="nb-NO"/>
              </w:rPr>
            </w:pPr>
            <w:r w:rsidRPr="5990D8B9">
              <w:rPr>
                <w:lang w:val="nb-NO"/>
              </w:rPr>
              <w:t xml:space="preserve">§ 2-3 Krav til fagmiljø (4): </w:t>
            </w:r>
            <w:r w:rsidRPr="00D84159">
              <w:rPr>
                <w:rFonts w:asciiTheme="majorHAnsi" w:eastAsia="Arial" w:hAnsiTheme="majorHAnsi" w:cstheme="majorBidi"/>
                <w:i/>
                <w:iCs/>
                <w:color w:val="2F5496" w:themeColor="accent1" w:themeShade="BF"/>
                <w:lang w:val="nb-NO"/>
              </w:rPr>
              <w:t xml:space="preserve">Minst 50 prosent av årsverkene tilknyttet studietilbudet skal utgjøres av ansatte i hovedstilling ved institusjonen. Av disse skal det være ansatte med førstestillingskompetanse i de sentrale delene av studietilbudet. I tillegg gjelder følgende krav til fagmiljøets kompetansenivå: </w:t>
            </w:r>
          </w:p>
          <w:p w14:paraId="2C5D81A2" w14:textId="77777777" w:rsidR="00492001" w:rsidRPr="00D84159" w:rsidRDefault="00492001" w:rsidP="00D84159">
            <w:pPr>
              <w:shd w:val="clear" w:color="auto" w:fill="FFFFFF" w:themeFill="background1"/>
              <w:spacing w:line="259" w:lineRule="auto"/>
              <w:rPr>
                <w:rFonts w:asciiTheme="majorHAnsi" w:eastAsia="Arial" w:hAnsiTheme="majorHAnsi" w:cstheme="majorBidi"/>
                <w:i/>
                <w:iCs/>
                <w:color w:val="2F5496" w:themeColor="accent1" w:themeShade="BF"/>
                <w:lang w:val="nb-NO"/>
              </w:rPr>
            </w:pPr>
            <w:r w:rsidRPr="00D84159">
              <w:rPr>
                <w:rFonts w:asciiTheme="majorHAnsi" w:eastAsia="Arial" w:hAnsiTheme="majorHAnsi" w:cstheme="majorBidi"/>
                <w:i/>
                <w:iCs/>
                <w:color w:val="2F5496" w:themeColor="accent1" w:themeShade="BF"/>
                <w:lang w:val="nb-NO"/>
              </w:rPr>
              <w:t xml:space="preserve">a) For studietilbud på bachelorgradsnivå skal fagmiljøet tilknyttet studiet bestå av minst 20 prosent ansatte med førstestillingskompetanse. </w:t>
            </w:r>
          </w:p>
          <w:p w14:paraId="1A42FBD2" w14:textId="77777777" w:rsidR="00492001" w:rsidRPr="00D84159" w:rsidRDefault="00492001" w:rsidP="00D84159">
            <w:pPr>
              <w:shd w:val="clear" w:color="auto" w:fill="FFFFFF" w:themeFill="background1"/>
              <w:spacing w:line="259" w:lineRule="auto"/>
              <w:rPr>
                <w:rFonts w:asciiTheme="majorHAnsi" w:eastAsia="Arial" w:hAnsiTheme="majorHAnsi" w:cstheme="majorBidi"/>
                <w:i/>
                <w:iCs/>
                <w:color w:val="2F5496" w:themeColor="accent1" w:themeShade="BF"/>
                <w:lang w:val="nb-NO"/>
              </w:rPr>
            </w:pPr>
            <w:r w:rsidRPr="00D84159">
              <w:rPr>
                <w:rFonts w:asciiTheme="majorHAnsi" w:eastAsia="Arial" w:hAnsiTheme="majorHAnsi" w:cstheme="majorBidi"/>
                <w:i/>
                <w:iCs/>
                <w:color w:val="2F5496" w:themeColor="accent1" w:themeShade="BF"/>
                <w:lang w:val="nb-NO"/>
              </w:rPr>
              <w:t xml:space="preserve">b) For studietilbud på mastergradsnivå skal 50 prosent av fagmiljøet tilknyttet studiet bestå av ansatte med førstestillingskompetanse, hvorav minst 10 prosent med professor- eller dosentkompetanse. </w:t>
            </w:r>
          </w:p>
          <w:p w14:paraId="16C36435" w14:textId="77777777" w:rsidR="00492001" w:rsidRPr="00D84159" w:rsidRDefault="00492001" w:rsidP="00D84159">
            <w:pPr>
              <w:shd w:val="clear" w:color="auto" w:fill="FFFFFF" w:themeFill="background1"/>
              <w:spacing w:line="259" w:lineRule="auto"/>
              <w:rPr>
                <w:rFonts w:asciiTheme="majorHAnsi" w:eastAsia="Arial" w:hAnsiTheme="majorHAnsi" w:cstheme="majorBidi"/>
                <w:i/>
                <w:iCs/>
                <w:color w:val="2F5496" w:themeColor="accent1" w:themeShade="BF"/>
                <w:lang w:val="nb-NO"/>
              </w:rPr>
            </w:pPr>
            <w:r w:rsidRPr="00D84159">
              <w:rPr>
                <w:rFonts w:asciiTheme="majorHAnsi" w:eastAsia="Arial" w:hAnsiTheme="majorHAnsi" w:cstheme="majorBidi"/>
                <w:i/>
                <w:iCs/>
                <w:color w:val="2F5496" w:themeColor="accent1" w:themeShade="BF"/>
                <w:lang w:val="nb-NO"/>
              </w:rPr>
              <w:t xml:space="preserve">c) For studietilbud på doktorgradsnivå skal fagmiljøet tilknyttet studiet bestå av ansatte med førstestillingskompetanse, hvorav minst 50 prosent med professor- eller dosentkompetanse. </w:t>
            </w:r>
          </w:p>
          <w:p w14:paraId="60E81294" w14:textId="77777777" w:rsidR="00492001" w:rsidRDefault="00492001" w:rsidP="001C2291">
            <w:pPr>
              <w:rPr>
                <w:lang w:val="nb-NO"/>
              </w:rPr>
            </w:pPr>
          </w:p>
          <w:p w14:paraId="421DA2FD" w14:textId="5FACBA7B" w:rsidR="00492001" w:rsidRPr="00661372" w:rsidRDefault="00492001" w:rsidP="001C2291">
            <w:pPr>
              <w:rPr>
                <w:rFonts w:asciiTheme="majorHAnsi" w:eastAsia="Arial" w:hAnsiTheme="majorHAnsi" w:cstheme="majorBidi"/>
                <w:i/>
                <w:iCs/>
                <w:lang w:val="nb-NO"/>
              </w:rPr>
            </w:pPr>
            <w:r w:rsidRPr="00661372">
              <w:rPr>
                <w:rFonts w:asciiTheme="majorHAnsi" w:eastAsia="Arial" w:hAnsiTheme="majorHAnsi" w:cstheme="majorBidi"/>
                <w:i/>
                <w:iCs/>
                <w:lang w:val="nb-NO"/>
              </w:rPr>
              <w:t>For mastergradsstudier:</w:t>
            </w:r>
            <w:r>
              <w:rPr>
                <w:rFonts w:asciiTheme="majorHAnsi" w:eastAsia="Arial" w:hAnsiTheme="majorHAnsi" w:cstheme="majorBidi"/>
                <w:i/>
                <w:iCs/>
                <w:lang w:val="nb-NO"/>
              </w:rPr>
              <w:t xml:space="preserve"> </w:t>
            </w:r>
            <w:r w:rsidRPr="00661372">
              <w:rPr>
                <w:rFonts w:eastAsia="Arial"/>
                <w:i/>
                <w:iCs/>
                <w:lang w:val="nb-NO"/>
              </w:rPr>
              <w:t xml:space="preserve">Krav til akkreditering i </w:t>
            </w:r>
            <w:hyperlink r:id="rId11" w:history="1">
              <w:r w:rsidRPr="00661372">
                <w:rPr>
                  <w:rFonts w:eastAsia="Arial"/>
                  <w:i/>
                  <w:iCs/>
                  <w:lang w:val="nb-NO"/>
                </w:rPr>
                <w:t>Forskrift om kvalitetssikring og kvalitetsutvikling i høyere utdanning og fagskoleutdanning</w:t>
              </w:r>
            </w:hyperlink>
            <w:r w:rsidR="0085739F">
              <w:rPr>
                <w:rFonts w:eastAsia="Arial"/>
                <w:i/>
                <w:iCs/>
                <w:lang w:val="nb-NO"/>
              </w:rPr>
              <w:t>, §</w:t>
            </w:r>
            <w:r w:rsidR="00A47B95">
              <w:rPr>
                <w:rFonts w:eastAsia="Arial"/>
                <w:i/>
                <w:iCs/>
                <w:lang w:val="nb-NO"/>
              </w:rPr>
              <w:t>3-2</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144"/>
            </w:tblGrid>
            <w:tr w:rsidR="00492001" w:rsidRPr="00CB1B87" w14:paraId="2D004535" w14:textId="77777777" w:rsidTr="001C2291">
              <w:trPr>
                <w:tblCellSpacing w:w="15" w:type="dxa"/>
              </w:trPr>
              <w:tc>
                <w:tcPr>
                  <w:tcW w:w="9300" w:type="dxa"/>
                  <w:vAlign w:val="center"/>
                  <w:hideMark/>
                </w:tcPr>
                <w:p w14:paraId="06029AFB" w14:textId="77777777" w:rsidR="00492001" w:rsidRPr="00661372" w:rsidRDefault="00492001" w:rsidP="001C2291">
                  <w:pPr>
                    <w:shd w:val="clear" w:color="auto" w:fill="FFFFFF" w:themeFill="background1"/>
                    <w:spacing w:after="0"/>
                    <w:rPr>
                      <w:rFonts w:asciiTheme="majorHAnsi" w:eastAsia="Arial" w:hAnsiTheme="majorHAnsi" w:cstheme="majorBidi"/>
                      <w:i/>
                      <w:iCs/>
                      <w:color w:val="2F5496" w:themeColor="accent1" w:themeShade="BF"/>
                      <w:lang w:val="nb-NO"/>
                    </w:rPr>
                  </w:pPr>
                  <w:r w:rsidRPr="00661372">
                    <w:rPr>
                      <w:rFonts w:asciiTheme="majorHAnsi" w:eastAsia="Arial" w:hAnsiTheme="majorHAnsi" w:cstheme="majorBidi"/>
                      <w:i/>
                      <w:iCs/>
                      <w:color w:val="2F5496" w:themeColor="accent1" w:themeShade="BF"/>
                      <w:lang w:val="nb-NO"/>
                    </w:rPr>
                    <w:t>(2) Mastergradsstudiet skal ha et bredt og stabilt fagmiljø som består av tilstrekkelig antall ansatte med høy faglig kompetanse innenfor utdanning, forskning eller kunstnerisk utviklingsarbeid og faglig utviklingsarbeid innenfor studietilbudet. Fagmiljøet skal dekke fag og emner som studietilbudet består av. De ansatte i fagmiljøet skal ha relevant kompetanse.</w:t>
                  </w:r>
                </w:p>
              </w:tc>
            </w:tr>
          </w:tbl>
          <w:p w14:paraId="7E6BDAAA" w14:textId="77777777" w:rsidR="00492001" w:rsidRPr="00661372" w:rsidRDefault="00492001" w:rsidP="001C2291">
            <w:pPr>
              <w:shd w:val="clear" w:color="auto" w:fill="FFFFFF" w:themeFill="background1"/>
              <w:rPr>
                <w:rFonts w:asciiTheme="majorHAnsi" w:eastAsia="Arial" w:hAnsiTheme="majorHAnsi" w:cstheme="majorBidi"/>
                <w:i/>
                <w:iCs/>
                <w:color w:val="2F5496" w:themeColor="accent1" w:themeShade="BF"/>
                <w:lang w:val="nb-NO"/>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144"/>
            </w:tblGrid>
            <w:tr w:rsidR="00492001" w:rsidRPr="0061440E" w14:paraId="38B037DF" w14:textId="77777777" w:rsidTr="001C2291">
              <w:trPr>
                <w:tblCellSpacing w:w="15" w:type="dxa"/>
              </w:trPr>
              <w:tc>
                <w:tcPr>
                  <w:tcW w:w="9300" w:type="dxa"/>
                  <w:vAlign w:val="center"/>
                  <w:hideMark/>
                </w:tcPr>
                <w:p w14:paraId="0AB0B8DA" w14:textId="77777777" w:rsidR="00492001" w:rsidRPr="00661372" w:rsidRDefault="00492001" w:rsidP="001C2291">
                  <w:pPr>
                    <w:shd w:val="clear" w:color="auto" w:fill="FFFFFF" w:themeFill="background1"/>
                    <w:spacing w:after="0"/>
                    <w:rPr>
                      <w:rFonts w:asciiTheme="majorHAnsi" w:eastAsia="Arial" w:hAnsiTheme="majorHAnsi" w:cstheme="majorBidi"/>
                      <w:i/>
                      <w:iCs/>
                      <w:color w:val="2F5496" w:themeColor="accent1" w:themeShade="BF"/>
                      <w:lang w:val="nb-NO"/>
                    </w:rPr>
                  </w:pPr>
                  <w:r w:rsidRPr="00661372">
                    <w:rPr>
                      <w:rFonts w:asciiTheme="majorHAnsi" w:eastAsia="Arial" w:hAnsiTheme="majorHAnsi" w:cstheme="majorBidi"/>
                      <w:i/>
                      <w:iCs/>
                      <w:color w:val="2F5496" w:themeColor="accent1" w:themeShade="BF"/>
                      <w:lang w:val="nb-NO"/>
                    </w:rPr>
                    <w:t>(3) Fagmiljøet skal kunne vise til dokumenterte resultater på høyt nivå og resultater fra samarbeid med andre fagmiljøer nasjonalt og internasjonalt. Institusjonens vurderinger skal dokumenteres slik at NOKUT kan bruke dem i arbeidet sitt.</w:t>
                  </w:r>
                </w:p>
              </w:tc>
            </w:tr>
          </w:tbl>
          <w:p w14:paraId="5B5C3416" w14:textId="77777777" w:rsidR="00492001" w:rsidRPr="00661372" w:rsidRDefault="00492001" w:rsidP="001C2291">
            <w:pPr>
              <w:rPr>
                <w:lang w:val="nb-NO"/>
              </w:rPr>
            </w:pPr>
          </w:p>
        </w:tc>
      </w:tr>
    </w:tbl>
    <w:p w14:paraId="56E3BBCC" w14:textId="0D621EAA" w:rsidR="413D24D0" w:rsidRDefault="2623E217" w:rsidP="5C4C4A36">
      <w:pPr>
        <w:rPr>
          <w:b/>
          <w:bCs/>
          <w:i/>
          <w:iCs/>
          <w:color w:val="C45911" w:themeColor="accent2" w:themeShade="BF"/>
          <w:lang w:val="nb-NO"/>
        </w:rPr>
      </w:pPr>
      <w:r w:rsidRPr="5C4C4A36">
        <w:rPr>
          <w:rFonts w:eastAsia="Arial"/>
          <w:i/>
          <w:iCs/>
          <w:color w:val="C45911" w:themeColor="accent2" w:themeShade="BF"/>
          <w:lang w:val="nb-NO"/>
        </w:rPr>
        <w:t>Veiledning fra NOKUT:</w:t>
      </w:r>
      <w:r w:rsidRPr="5C4C4A36">
        <w:rPr>
          <w:b/>
          <w:bCs/>
          <w:i/>
          <w:iCs/>
          <w:color w:val="C45911" w:themeColor="accent2" w:themeShade="BF"/>
          <w:lang w:val="nb-NO"/>
        </w:rPr>
        <w:t xml:space="preserve"> </w:t>
      </w:r>
    </w:p>
    <w:p w14:paraId="6F67D7D0" w14:textId="7F925E35" w:rsidR="1ACF7293" w:rsidRDefault="1ACF7293" w:rsidP="5C4C4A36">
      <w:pPr>
        <w:rPr>
          <w:b/>
          <w:bCs/>
          <w:i/>
          <w:iCs/>
          <w:color w:val="C45911" w:themeColor="accent2" w:themeShade="BF"/>
          <w:lang w:val="nb-NO"/>
        </w:rPr>
      </w:pPr>
      <w:r w:rsidRPr="5C4C4A36">
        <w:rPr>
          <w:b/>
          <w:bCs/>
          <w:i/>
          <w:iCs/>
          <w:color w:val="C45911" w:themeColor="accent2" w:themeShade="BF"/>
          <w:lang w:val="nb-NO"/>
        </w:rPr>
        <w:t>2-3 (1)</w:t>
      </w:r>
    </w:p>
    <w:p w14:paraId="0A1F0163" w14:textId="77777777" w:rsidR="00492001" w:rsidRPr="00D50FAC" w:rsidRDefault="00492001" w:rsidP="5C4C4A36">
      <w:pPr>
        <w:rPr>
          <w:rFonts w:ascii="Times New Roman" w:hAnsi="Times New Roman" w:cs="Times New Roman"/>
          <w:i/>
          <w:iCs/>
          <w:color w:val="C45911" w:themeColor="accent2" w:themeShade="BF"/>
          <w:lang w:val="nb-NO"/>
        </w:rPr>
      </w:pPr>
      <w:r w:rsidRPr="5C4C4A36">
        <w:rPr>
          <w:rFonts w:ascii="Times New Roman" w:hAnsi="Times New Roman" w:cs="Times New Roman"/>
          <w:i/>
          <w:iCs/>
          <w:color w:val="C45911" w:themeColor="accent2" w:themeShade="BF"/>
          <w:lang w:val="nb-NO"/>
        </w:rPr>
        <w:t xml:space="preserve">Fagmiljøet tilknyttet studietilbudet omfatter personer som direkte og regelmessig gir bidrag til utviklingen, organiseringen og gjennomføringen av studietilbudet. Presiseringen er ment å inkludere personer med ulike typer bidrag inn i studietilbudet i tillegg til undervisning, veiledning eller annen tilrettelegging for læring. Dette kan for eksempel være laboratoriearbeid, forskning, utviklingsarbeid, erfaringsoverføring fra praksisfeltet, praktisk undervisning, pedagogisk og faglig utnyttelse av digital teknologi, innovasjon og samarbeid med arbeids- og næringsliv. </w:t>
      </w:r>
    </w:p>
    <w:p w14:paraId="6284F62C" w14:textId="77777777" w:rsidR="00492001" w:rsidRPr="00D50FAC" w:rsidRDefault="00492001" w:rsidP="5C4C4A36">
      <w:pPr>
        <w:rPr>
          <w:i/>
          <w:iCs/>
          <w:color w:val="C45911" w:themeColor="accent2" w:themeShade="BF"/>
          <w:lang w:val="nb-NO"/>
        </w:rPr>
      </w:pPr>
      <w:r w:rsidRPr="5C4C4A36">
        <w:rPr>
          <w:i/>
          <w:iCs/>
          <w:color w:val="C45911" w:themeColor="accent2" w:themeShade="BF"/>
          <w:lang w:val="nb-NO"/>
        </w:rPr>
        <w:t xml:space="preserve">Veiledning </w:t>
      </w:r>
    </w:p>
    <w:p w14:paraId="21E4F391" w14:textId="77777777" w:rsidR="00492001" w:rsidRPr="00D50FAC" w:rsidRDefault="00492001" w:rsidP="5C4C4A36">
      <w:pPr>
        <w:rPr>
          <w:rFonts w:ascii="Times New Roman" w:hAnsi="Times New Roman" w:cs="Times New Roman"/>
          <w:i/>
          <w:iCs/>
          <w:color w:val="C45911" w:themeColor="accent2" w:themeShade="BF"/>
          <w:lang w:val="nb-NO"/>
        </w:rPr>
      </w:pPr>
      <w:r w:rsidRPr="5C4C4A36">
        <w:rPr>
          <w:rFonts w:ascii="Times New Roman" w:hAnsi="Times New Roman" w:cs="Times New Roman"/>
          <w:i/>
          <w:iCs/>
          <w:color w:val="C45911" w:themeColor="accent2" w:themeShade="BF"/>
          <w:lang w:val="nb-NO"/>
        </w:rPr>
        <w:t xml:space="preserve">En viktig forutsetning for kvalitet i studietilbudet, er at studentene møter et fagmiljø som er stort nok og stabilt, og som har kompetanse innenfor alle fag og emner som det undervises i. </w:t>
      </w:r>
    </w:p>
    <w:p w14:paraId="6760C5A2" w14:textId="77777777" w:rsidR="00492001" w:rsidRPr="00D31B46" w:rsidRDefault="00492001" w:rsidP="5C4C4A36">
      <w:pPr>
        <w:rPr>
          <w:i/>
          <w:iCs/>
          <w:color w:val="C45911" w:themeColor="accent2" w:themeShade="BF"/>
          <w:lang w:val="nb-NO"/>
        </w:rPr>
      </w:pPr>
      <w:r w:rsidRPr="5C4C4A36">
        <w:rPr>
          <w:rFonts w:ascii="Times New Roman" w:hAnsi="Times New Roman" w:cs="Times New Roman"/>
          <w:i/>
          <w:iCs/>
          <w:color w:val="C45911" w:themeColor="accent2" w:themeShade="BF"/>
          <w:lang w:val="nb-NO"/>
        </w:rPr>
        <w:t xml:space="preserve">Forventet læringsutbytte for studentene og studiets innhold og relevans, bør være førende for sammensetningen av fagmiljøet. Fagmiljøet har ansvar for å bygge opp et helhetlig studietilbud med </w:t>
      </w:r>
      <w:r w:rsidRPr="5C4C4A36">
        <w:rPr>
          <w:i/>
          <w:iCs/>
          <w:color w:val="C45911" w:themeColor="accent2" w:themeShade="BF"/>
          <w:lang w:val="nb-NO"/>
        </w:rPr>
        <w:t xml:space="preserve">god sammenheng, progresjon, og faglig bredde. Fagmiljøet må ha en kompetanseprofil som til sammen dekker de fag og emner studentene skal oppnå læringsutbytte i. </w:t>
      </w:r>
    </w:p>
    <w:p w14:paraId="068ACE64" w14:textId="77777777" w:rsidR="00492001" w:rsidRPr="00D31B46" w:rsidRDefault="00492001" w:rsidP="5C4C4A36">
      <w:pPr>
        <w:rPr>
          <w:i/>
          <w:iCs/>
          <w:color w:val="C45911" w:themeColor="accent2" w:themeShade="BF"/>
          <w:lang w:val="nb-NO"/>
        </w:rPr>
      </w:pPr>
      <w:r w:rsidRPr="5C4C4A36">
        <w:rPr>
          <w:i/>
          <w:iCs/>
          <w:color w:val="C45911" w:themeColor="accent2" w:themeShade="BF"/>
          <w:lang w:val="nb-NO"/>
        </w:rPr>
        <w:t xml:space="preserve">Størrelsen og kompetansen må være tilpasset antall studenter og undervisningen og veiledningen i studietilbudet. Fagmiljøet skal ha tilstrekkelig undervisnings- og veiledningskompetanse. Fordi fagmiljøet er definert som de personene som direkte og regelmessig skal bidra også til utvikling av studiet, må institusjonen kunne vise til et tilfredsstillende fagmiljø for hele studietilbudet til enhver tid. </w:t>
      </w:r>
    </w:p>
    <w:p w14:paraId="161C9372" w14:textId="77777777" w:rsidR="00492001" w:rsidRPr="00D31B46" w:rsidRDefault="00492001" w:rsidP="5C4C4A36">
      <w:pPr>
        <w:rPr>
          <w:i/>
          <w:iCs/>
          <w:color w:val="C45911" w:themeColor="accent2" w:themeShade="BF"/>
          <w:lang w:val="nb-NO"/>
        </w:rPr>
      </w:pPr>
      <w:r w:rsidRPr="5C4C4A36">
        <w:rPr>
          <w:i/>
          <w:iCs/>
          <w:color w:val="C45911" w:themeColor="accent2" w:themeShade="BF"/>
          <w:lang w:val="nb-NO"/>
        </w:rPr>
        <w:t xml:space="preserve">Definisjonen av fagmiljøet som er gitt i studietilsynsforskriften omfatter personene som direkte og regelmessig gir bidrag til utvikling, organisering og gjennomføring av studietilbudet. Ofte vil fagmiljøet være en del av et større miljø ved institusjonen. Det betyr at fagmiljøet tilknyttet studietilbudet vil kunne trekke veksler på kompetanse som ikke nødvendigvis er direkte tilknyttet studietilbudet i form av årsverk eller oppgaver. </w:t>
      </w:r>
    </w:p>
    <w:p w14:paraId="615129F8" w14:textId="03CE85F1" w:rsidR="00492001" w:rsidRPr="00D31B46" w:rsidRDefault="00492001" w:rsidP="5C4C4A36">
      <w:pPr>
        <w:rPr>
          <w:i/>
          <w:iCs/>
          <w:color w:val="C45911" w:themeColor="accent2" w:themeShade="BF"/>
          <w:lang w:val="nb-NO"/>
        </w:rPr>
      </w:pPr>
      <w:r w:rsidRPr="5C4C4A36">
        <w:rPr>
          <w:i/>
          <w:iCs/>
          <w:color w:val="C45911" w:themeColor="accent2" w:themeShade="BF"/>
          <w:lang w:val="nb-NO"/>
        </w:rPr>
        <w:t>Imidlertid er det større fagmiljøet vanskelig å tallfeste, og det er derfor slik at de kvantitative kravene til studietilbudet må være oppfylt for det fagmiljøet som er direkte knyttet til studietilbudet (se § 2-3 (4)).</w:t>
      </w:r>
    </w:p>
    <w:p w14:paraId="24F51E35" w14:textId="629D56F2" w:rsidR="00D83357" w:rsidRPr="00D31B46" w:rsidRDefault="00D83357" w:rsidP="5C4C4A36">
      <w:pPr>
        <w:rPr>
          <w:b/>
          <w:bCs/>
          <w:i/>
          <w:iCs/>
          <w:color w:val="C45911" w:themeColor="accent2" w:themeShade="BF"/>
          <w:lang w:val="nb-NO"/>
        </w:rPr>
      </w:pPr>
      <w:r w:rsidRPr="5C4C4A36">
        <w:rPr>
          <w:b/>
          <w:bCs/>
          <w:i/>
          <w:iCs/>
          <w:color w:val="C45911" w:themeColor="accent2" w:themeShade="BF"/>
          <w:lang w:val="nb-NO"/>
        </w:rPr>
        <w:t>§ 2-3 (4)).</w:t>
      </w:r>
    </w:p>
    <w:p w14:paraId="491D6365" w14:textId="7E7FA181" w:rsidR="00D83357" w:rsidRDefault="00D31B46" w:rsidP="5C4C4A36">
      <w:pPr>
        <w:rPr>
          <w:i/>
          <w:iCs/>
          <w:color w:val="C45911" w:themeColor="accent2" w:themeShade="BF"/>
          <w:lang w:val="nb-NO"/>
        </w:rPr>
      </w:pPr>
      <w:r w:rsidRPr="5C4C4A36">
        <w:rPr>
          <w:i/>
          <w:iCs/>
          <w:color w:val="C45911" w:themeColor="accent2" w:themeShade="BF"/>
          <w:lang w:val="nb-NO"/>
        </w:rPr>
        <w:t>Med hovedstilling menes at institusjonen er hovedarbeidsgiver for den ansatte, dvs. at den ansatte er ansatt i minst 50 prosent stilling ved den aktuelle institusjonen. For institusjoner som ellers kan dokumentere et stabilt og robust fagmiljø innenfor fagområdet, kan II’er-stillinger ned til 20 prosent telles med for å oppfylle 50 prosentandelen.Med førstestillingskompetanse menes stillingskategoriene førstelektor, førsteamanuensis, postdoktor, dosent og professor.For integrerte mastergrader gjelder § 2-3 (4) (b) for alle fem årene.For fellesgrader regnes de deltakende institusjonene som «institusjonen». Det vil si at 50 prosent av det samlede fagmiljøet som bidrar inn mot fellesgraden, må utgjøres av ansatte i hovedstilling ved én (eller flere) av de deltakende institusjonene.</w:t>
      </w:r>
    </w:p>
    <w:p w14:paraId="03D1EF63" w14:textId="58A9AC70" w:rsidR="00AA16C0" w:rsidRPr="0061440E" w:rsidRDefault="00AA16C0" w:rsidP="5C4C4A36">
      <w:pPr>
        <w:rPr>
          <w:i/>
          <w:iCs/>
          <w:color w:val="C45911" w:themeColor="accent2" w:themeShade="BF"/>
          <w:lang w:val="nb-NO"/>
        </w:rPr>
      </w:pPr>
      <w:r w:rsidRPr="5C4C4A36">
        <w:rPr>
          <w:i/>
          <w:iCs/>
          <w:color w:val="C45911" w:themeColor="accent2" w:themeShade="BF"/>
          <w:lang w:val="nb-NO"/>
        </w:rPr>
        <w:t xml:space="preserve">Dersom store deler av fagmiljøet ikke er ansatt/mangler ansettelsesavtale på søknadstidspunktet, vil ikke de sakkyndige ha tilstrekkelig grunnlag for å gjøre en vurdering og søknaden vil bli administrativt avvist. Definisjonen av fagmiljøet er gitt i § 2-3 (1) og omfatter personene som direkte og regelmessig gir bidrag til utvikling, organisering og gjennomføring av studietilbudet. Det er altså bare fagmiljøet som er knyttet til studiet i form av årsverk, som vurderes under dette punktet.Dette kravet gjelder fagmiljøet tilknyttet studiet. </w:t>
      </w:r>
      <w:r w:rsidRPr="0061440E">
        <w:rPr>
          <w:i/>
          <w:iCs/>
          <w:color w:val="C45911" w:themeColor="accent2" w:themeShade="BF"/>
          <w:lang w:val="nb-NO"/>
        </w:rPr>
        <w:t>Stillinger fra og med 0,1 årsverk inngår i beregningen.</w:t>
      </w:r>
    </w:p>
    <w:p w14:paraId="45585269" w14:textId="77777777" w:rsidR="008218D5" w:rsidRPr="008218D5" w:rsidRDefault="008218D5" w:rsidP="5C4C4A36">
      <w:pPr>
        <w:rPr>
          <w:i/>
          <w:iCs/>
          <w:color w:val="C45911" w:themeColor="accent2" w:themeShade="BF"/>
          <w:lang w:val="nb-NO"/>
        </w:rPr>
      </w:pPr>
      <w:r w:rsidRPr="5C4C4A36">
        <w:rPr>
          <w:i/>
          <w:iCs/>
          <w:color w:val="C45911" w:themeColor="accent2" w:themeShade="BF"/>
          <w:lang w:val="nb-NO"/>
        </w:rPr>
        <w:t>I enkelte tilfeller vil en person være ansatt i hovedstilling selv om stillingen ikke utgjør 50% eller mer. Personer som har eget foretak ved siden av stillingen ved institusjonen, eller er ansatt i flere stillinger andre steder, må imidlertid ha institusjonen som hovedarbeidsgiver for å regnes som ansatt i hovedstilling. Søkeren må eventuelt begrunne hvorfor ansatte med stillingsprosent under 50% allikevel skal vurderes som i hovedstilling ved søkerinstitusjonen.</w:t>
      </w:r>
    </w:p>
    <w:p w14:paraId="169B6429" w14:textId="77777777" w:rsidR="008218D5" w:rsidRPr="008218D5" w:rsidRDefault="008218D5" w:rsidP="5C4C4A36">
      <w:pPr>
        <w:rPr>
          <w:i/>
          <w:iCs/>
          <w:color w:val="C45911" w:themeColor="accent2" w:themeShade="BF"/>
          <w:lang w:val="nb-NO"/>
        </w:rPr>
      </w:pPr>
      <w:r w:rsidRPr="5C4C4A36">
        <w:rPr>
          <w:i/>
          <w:iCs/>
          <w:color w:val="C45911" w:themeColor="accent2" w:themeShade="BF"/>
          <w:lang w:val="nb-NO"/>
        </w:rPr>
        <w:t>Krav til førstestillingskompetanse er definert i opprykksforskriften</w:t>
      </w:r>
      <w:r w:rsidRPr="5C4C4A36">
        <w:rPr>
          <w:i/>
          <w:iCs/>
          <w:color w:val="C45911" w:themeColor="accent2" w:themeShade="BF"/>
          <w:sz w:val="18"/>
          <w:szCs w:val="18"/>
          <w:lang w:val="nb-NO"/>
        </w:rPr>
        <w:t xml:space="preserve">10 </w:t>
      </w:r>
      <w:r w:rsidRPr="5C4C4A36">
        <w:rPr>
          <w:i/>
          <w:iCs/>
          <w:color w:val="C45911" w:themeColor="accent2" w:themeShade="BF"/>
          <w:lang w:val="nb-NO"/>
        </w:rPr>
        <w:t>og forskrift om ansettelsesvilkår, vit. Stillinger</w:t>
      </w:r>
      <w:r w:rsidRPr="5C4C4A36">
        <w:rPr>
          <w:i/>
          <w:iCs/>
          <w:color w:val="C45911" w:themeColor="accent2" w:themeShade="BF"/>
          <w:sz w:val="18"/>
          <w:szCs w:val="18"/>
          <w:lang w:val="nb-NO"/>
        </w:rPr>
        <w:t>.</w:t>
      </w:r>
      <w:r w:rsidRPr="5C4C4A36">
        <w:rPr>
          <w:i/>
          <w:iCs/>
          <w:color w:val="C45911" w:themeColor="accent2" w:themeShade="BF"/>
          <w:lang w:val="nb-NO"/>
        </w:rPr>
        <w:t xml:space="preserve"> De sentrale delene av studiet kjennetegnes av at undervisningen må bygge på forskerkompetanse. Institusjonen må selv vurdere hvilke deler av studiet som krever slik kompetanse. Beregningen av hvor mange førstestillingskompetente som kreves i studiets sentrale deler, gjøres ut ifra antall årsverk i hovedstilling.</w:t>
      </w:r>
    </w:p>
    <w:p w14:paraId="0049244D" w14:textId="3E4C77C4" w:rsidR="008218D5" w:rsidRPr="008218D5" w:rsidRDefault="008218D5" w:rsidP="5C4C4A36">
      <w:pPr>
        <w:rPr>
          <w:b/>
          <w:bCs/>
          <w:i/>
          <w:iCs/>
          <w:color w:val="C45911" w:themeColor="accent2" w:themeShade="BF"/>
          <w:lang w:val="nb-NO"/>
        </w:rPr>
      </w:pPr>
      <w:r w:rsidRPr="5C4C4A36">
        <w:rPr>
          <w:i/>
          <w:iCs/>
          <w:color w:val="C45911" w:themeColor="accent2" w:themeShade="BF"/>
          <w:lang w:val="nb-NO"/>
        </w:rPr>
        <w:t>Beregningen i kravet til hver enkelt syklus gjøres ut ifra det samlede fagmiljøet, det vil si alle som bidrar med minimum 0,1 årsverk.</w:t>
      </w:r>
    </w:p>
    <w:p w14:paraId="4D4DC3FB" w14:textId="2E3C8E91" w:rsidR="00D201D7" w:rsidRPr="00114ED8" w:rsidRDefault="0F430FEB" w:rsidP="5C4C4A36">
      <w:pPr>
        <w:rPr>
          <w:b/>
          <w:bCs/>
          <w:i/>
          <w:iCs/>
          <w:color w:val="C45911" w:themeColor="accent2" w:themeShade="BF"/>
          <w:lang w:val="nb-NO"/>
        </w:rPr>
      </w:pPr>
      <w:r w:rsidRPr="5C4C4A36">
        <w:rPr>
          <w:b/>
          <w:bCs/>
          <w:i/>
          <w:iCs/>
          <w:color w:val="C45911" w:themeColor="accent2" w:themeShade="BF"/>
          <w:lang w:val="nb-NO"/>
        </w:rPr>
        <w:t xml:space="preserve">§ 3-2 </w:t>
      </w:r>
    </w:p>
    <w:p w14:paraId="34E03875" w14:textId="783DCB93" w:rsidR="00D201D7" w:rsidRPr="00114ED8" w:rsidRDefault="00D201D7" w:rsidP="5C4C4A36">
      <w:pPr>
        <w:rPr>
          <w:i/>
          <w:iCs/>
          <w:color w:val="C45911" w:themeColor="accent2" w:themeShade="BF"/>
          <w:lang w:val="nb-NO"/>
        </w:rPr>
      </w:pPr>
      <w:r w:rsidRPr="5C4C4A36">
        <w:rPr>
          <w:i/>
          <w:iCs/>
          <w:color w:val="C45911" w:themeColor="accent2" w:themeShade="BF"/>
          <w:lang w:val="nb-NO"/>
        </w:rPr>
        <w:t>Fagmiljøet skal være bredt og satt sammen av ansatte med relevant kompetanse innenfor utdanning, forskning eller kunstnerisk utviklingsarbeid og faglig utviklingsarbeid i alle deler av studietilbudet.</w:t>
      </w:r>
    </w:p>
    <w:p w14:paraId="392C12BA" w14:textId="77777777" w:rsidR="00114ED8" w:rsidRPr="00114ED8" w:rsidRDefault="00D201D7" w:rsidP="5C4C4A36">
      <w:pPr>
        <w:rPr>
          <w:i/>
          <w:iCs/>
          <w:color w:val="C45911" w:themeColor="accent2" w:themeShade="BF"/>
          <w:lang w:val="nb-NO"/>
        </w:rPr>
      </w:pPr>
      <w:r w:rsidRPr="5C4C4A36">
        <w:rPr>
          <w:i/>
          <w:iCs/>
          <w:color w:val="C45911" w:themeColor="accent2" w:themeShade="BF"/>
          <w:lang w:val="nb-NO"/>
        </w:rPr>
        <w:t>Det er ikke tilstrekkelig at kompetansen er relevant for studietilbudet. Søkeren må også vise til at de ansatte samlet sett har høy kompetanse som er dekkende for fagområdet. Fagmiljøene skal blant annet bestå av personer med førstestillingskompetanse og toppkompetanse, herunder førstelektor, førsteamanuensis, dosent, professor. Kravet innebærer en forsterkning og skjerping, samtidig som det åpner opp for en fleksibilitet i sammensetning av fagmiljøet. Hva som vurderes som tilstrekkelig høy og relevant kompetanse vil variere mellom ulike studietilbud, og de sakkyndige vil i hvert enkelt tilfelle vurdere om kompetansen er tilstrekkelig.</w:t>
      </w:r>
    </w:p>
    <w:p w14:paraId="01C3F9B9" w14:textId="7037667C" w:rsidR="00492001" w:rsidRDefault="00D201D7" w:rsidP="5C4C4A36">
      <w:pPr>
        <w:rPr>
          <w:i/>
          <w:iCs/>
          <w:color w:val="C45911" w:themeColor="accent2" w:themeShade="BF"/>
          <w:sz w:val="27"/>
          <w:szCs w:val="27"/>
          <w:lang w:val="nb-NO"/>
        </w:rPr>
      </w:pPr>
      <w:r w:rsidRPr="5C4C4A36">
        <w:rPr>
          <w:i/>
          <w:iCs/>
          <w:color w:val="C45911" w:themeColor="accent2" w:themeShade="BF"/>
          <w:lang w:val="nb-NO"/>
        </w:rPr>
        <w:t>Definisjonen av fagmiljøet som er gitt i studietilsynsforskriften omfatter personene som direkte og regelmessig gir bidrag til utvikling, organisering og gjennomføring av studietilbudet. Ofte vil fagmiljøet være en del av et større miljø ved institusjonene. Det betyr at fagmiljøet tilknyttet studietilbudet vil kunne trekke veksler på kompetanse som ikke nødvendigvis er direkte tilknyttet studietilbudet i form av årsverk eller oppgaver. Når dere skal begrunne at fagmiljøet er tilstrekkelig bredt, kan det være relevant å vise til dette «utvidede» fagmiljøet. Det er for eksempel mulig å vise til hvordan dette utvidede fagmiljøet samarbeider om utdanningskvalitet på måter som er direkte relevant for utdanningen søknaden gjelder</w:t>
      </w:r>
      <w:r w:rsidRPr="5C4C4A36">
        <w:rPr>
          <w:i/>
          <w:iCs/>
          <w:color w:val="C45911" w:themeColor="accent2" w:themeShade="BF"/>
          <w:sz w:val="27"/>
          <w:szCs w:val="27"/>
          <w:lang w:val="nb-NO"/>
        </w:rPr>
        <w:t>.</w:t>
      </w:r>
    </w:p>
    <w:p w14:paraId="186390AB" w14:textId="3D628CE2" w:rsidR="00B97219" w:rsidRPr="00B97219" w:rsidRDefault="00B97219" w:rsidP="5C4C4A36">
      <w:pPr>
        <w:rPr>
          <w:i/>
          <w:iCs/>
          <w:color w:val="C45911" w:themeColor="accent2" w:themeShade="BF"/>
          <w:lang w:val="nb-NO"/>
        </w:rPr>
      </w:pPr>
      <w:r w:rsidRPr="5C4C4A36">
        <w:rPr>
          <w:i/>
          <w:iCs/>
          <w:color w:val="C45911" w:themeColor="accent2" w:themeShade="BF"/>
          <w:lang w:val="nb-NO"/>
        </w:rPr>
        <w:t>Fagmiljøet skal kunne vise til dokumenterte resultater på høyt nivå. Hva som regnes som et høyt nivå vurderes ut ifra hva som regnes for å være et høyt nivå i fagfeltet nasjonalt og internasjonalt. Det som skal dokumenteres er altså ikke kun de resultatene som fagmiljøet har med seg fra egen institusjon, men også resultater fra FoU/KU-samarbeid med andre fagmiljøer både nasjonalt og internasjonalt.</w:t>
      </w:r>
    </w:p>
    <w:p w14:paraId="728942FE" w14:textId="77777777" w:rsidR="00D201D7" w:rsidRPr="00D201D7" w:rsidRDefault="00D201D7" w:rsidP="00D201D7">
      <w:pPr>
        <w:rPr>
          <w:lang w:val="nb-NO"/>
        </w:rPr>
      </w:pPr>
    </w:p>
    <w:p w14:paraId="564FCD87" w14:textId="77777777" w:rsidR="00492001" w:rsidRDefault="00492001" w:rsidP="00492001">
      <w:pPr>
        <w:pStyle w:val="Heading2"/>
        <w:rPr>
          <w:lang w:val="nb-NO"/>
        </w:rPr>
      </w:pPr>
      <w:bookmarkStart w:id="12" w:name="_Toc31113861"/>
      <w:r w:rsidRPr="26311EA4">
        <w:rPr>
          <w:lang w:val="nb-NO"/>
        </w:rPr>
        <w:t>Fagmiljøets utdanningsfaglige kompetanse</w:t>
      </w:r>
      <w:bookmarkEnd w:id="12"/>
    </w:p>
    <w:tbl>
      <w:tblPr>
        <w:tblStyle w:val="TableGrid"/>
        <w:tblW w:w="0" w:type="auto"/>
        <w:tblLayout w:type="fixed"/>
        <w:tblLook w:val="06A0" w:firstRow="1" w:lastRow="0" w:firstColumn="1" w:lastColumn="0" w:noHBand="1" w:noVBand="1"/>
      </w:tblPr>
      <w:tblGrid>
        <w:gridCol w:w="9360"/>
      </w:tblGrid>
      <w:tr w:rsidR="00492001" w:rsidRPr="0061440E" w14:paraId="00BEC4B2" w14:textId="77777777" w:rsidTr="5C4C4A36">
        <w:tc>
          <w:tcPr>
            <w:tcW w:w="9360" w:type="dxa"/>
          </w:tcPr>
          <w:p w14:paraId="4E8C8B09" w14:textId="77777777" w:rsidR="00492001" w:rsidRDefault="00492001" w:rsidP="001C2291">
            <w:pPr>
              <w:rPr>
                <w:rFonts w:eastAsia="Arial"/>
                <w:lang w:val="nb-NO"/>
              </w:rPr>
            </w:pPr>
            <w:r w:rsidRPr="5990D8B9">
              <w:rPr>
                <w:rFonts w:asciiTheme="majorHAnsi" w:eastAsiaTheme="majorEastAsia" w:hAnsiTheme="majorHAnsi" w:cstheme="majorBidi"/>
                <w:i/>
                <w:iCs/>
                <w:lang w:val="nb-NO"/>
              </w:rPr>
              <w:t xml:space="preserve">§ 2-3 (2): </w:t>
            </w:r>
            <w:r w:rsidRPr="5990D8B9">
              <w:rPr>
                <w:rFonts w:asciiTheme="majorHAnsi" w:eastAsiaTheme="majorEastAsia" w:hAnsiTheme="majorHAnsi" w:cstheme="majorBidi"/>
                <w:i/>
                <w:iCs/>
                <w:color w:val="2F5496" w:themeColor="accent1" w:themeShade="BF"/>
                <w:lang w:val="nb-NO"/>
              </w:rPr>
              <w:t>Fagmiljøet tilknyttet studietilbudet skal ha relevant utdanningsfaglig kompetanse.</w:t>
            </w:r>
          </w:p>
        </w:tc>
      </w:tr>
    </w:tbl>
    <w:p w14:paraId="63474B56" w14:textId="0D20FEEA" w:rsidR="009B2A48" w:rsidRPr="009B2A48" w:rsidRDefault="7FA84248" w:rsidP="5C4C4A36">
      <w:pPr>
        <w:rPr>
          <w:lang w:val="nb-NO"/>
        </w:rPr>
      </w:pPr>
      <w:r w:rsidRPr="5C4C4A36">
        <w:rPr>
          <w:rFonts w:eastAsia="Arial"/>
          <w:i/>
          <w:iCs/>
          <w:color w:val="C45911" w:themeColor="accent2" w:themeShade="BF"/>
          <w:lang w:val="nb-NO"/>
        </w:rPr>
        <w:t>Veiledning fra NOKUT:</w:t>
      </w:r>
      <w:r w:rsidRPr="5C4C4A36">
        <w:rPr>
          <w:lang w:val="nb-NO"/>
        </w:rPr>
        <w:t xml:space="preserve"> </w:t>
      </w:r>
    </w:p>
    <w:p w14:paraId="5300105C" w14:textId="3FF40CB2" w:rsidR="009B2A48" w:rsidRPr="009B2A48" w:rsidRDefault="009B2A48" w:rsidP="5C4C4A36">
      <w:pPr>
        <w:rPr>
          <w:i/>
          <w:iCs/>
          <w:color w:val="C45911" w:themeColor="accent2" w:themeShade="BF"/>
          <w:lang w:val="nb-NO"/>
        </w:rPr>
      </w:pPr>
      <w:r w:rsidRPr="5C4C4A36">
        <w:rPr>
          <w:i/>
          <w:iCs/>
          <w:color w:val="C45911" w:themeColor="accent2" w:themeShade="BF"/>
          <w:lang w:val="nb-NO"/>
        </w:rPr>
        <w:t xml:space="preserve">Institusjonen er ansvarlig for å sikre fagmiljøets utdanningsfaglige kompetanse, jf. forskrift om ansettelse og opprykk §§ 1-2 til 1-7, og for å legge til rette for oppdatering og utvikling av denne kompetansen.Utdanningsfaglig kompetanse omfatter i denne forskriften UH-pedagogikk og didaktikk, og inkluderer også kompetanse til å utnytte digital teknologi for å fremme læring. </w:t>
      </w:r>
    </w:p>
    <w:p w14:paraId="7827A5BE" w14:textId="7C2C853B"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Det følger av kravet at institusjonene må sikre fagmiljøets utdanningsfaglige kompetanse (jf. forskrift om ansettelse og opprykk §§ 1-2 til 1-7) og aktivt legge til rette for utvikling av denne kompetansen. Den utdanningsfaglige kompetansen må være tilpasset studiets egenart, organisering og nivå. Institusjonen er forpliktet til å sikre at alle som underviser ved universiteter og høyskoler har utdanningsfaglig kompetanse. UHRs retningslinjer for pedagogisk basiskompetanse kan angi en rimelig norm for hva de fagansatte som minimum må ha. Institusjonene skal imidlertid også sikre at den utdanningsfaglige kompetansen utvikles og holdes oppdatert. Dette krever en institusjonell strategi. Meritteringsordninger og FoU/KU-satsninger som styrker fagmiljøers forutsetninger for å utvikle gode og aktuelle utdanningspraksiser, er eksempler på strategiske grep. </w:t>
      </w:r>
    </w:p>
    <w:p w14:paraId="240E53F0"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Informasjon i søknaden skal minst inneholde: </w:t>
      </w:r>
    </w:p>
    <w:p w14:paraId="54B6DB41"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 Beskrivelse av fagmiljøets UH-pedagogiske, didaktiske og digitale kompetanse. </w:t>
      </w:r>
    </w:p>
    <w:p w14:paraId="060627E1"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 Beskrivelse av hvilke tiltak institusjonen har for å sikre og utvikle fagmiljøets utdanningsfaglige kompetanse. </w:t>
      </w:r>
    </w:p>
    <w:p w14:paraId="35349F5B"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 Redegjørelse for fagmiljøets digitale kompetanse og hvordan denne sikres og vedlikeholdes. </w:t>
      </w:r>
    </w:p>
    <w:p w14:paraId="3ED23DE0"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fagfellesskap, og den faglige ledelsen kan være knyttet til ett enkelt studietilbud eller til en bredere portefølje av studietilbud ved institusjonen. Den/de som har det faglige ansvaret må ha kompetanse til å drive kvalitetssikring og kvalitetsutvikling av studietilbudet. </w:t>
      </w:r>
    </w:p>
    <w:p w14:paraId="229C8FB8"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Informasjon i søknaden skal minst inneholde: </w:t>
      </w:r>
    </w:p>
    <w:p w14:paraId="6B425B69"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 Beskrivelse av studiets faglige ledelse og ved hvilket nivå ved institusjonen den er etablert på. </w:t>
      </w:r>
    </w:p>
    <w:p w14:paraId="6BB9B59E" w14:textId="77777777" w:rsidR="00492001" w:rsidRPr="00C96724" w:rsidRDefault="00492001" w:rsidP="5C4C4A36">
      <w:pPr>
        <w:rPr>
          <w:i/>
          <w:iCs/>
          <w:color w:val="C45911" w:themeColor="accent2" w:themeShade="BF"/>
          <w:lang w:val="nb-NO"/>
        </w:rPr>
      </w:pPr>
      <w:r w:rsidRPr="5C4C4A36">
        <w:rPr>
          <w:i/>
          <w:iCs/>
          <w:color w:val="C45911" w:themeColor="accent2" w:themeShade="BF"/>
          <w:lang w:val="nb-NO"/>
        </w:rPr>
        <w:t xml:space="preserve">• Redegjørelse for den faglige ledelsens oppgaver knyttet til studietilbudet. </w:t>
      </w:r>
    </w:p>
    <w:p w14:paraId="4E794C95" w14:textId="77777777" w:rsidR="00492001" w:rsidRDefault="00492001" w:rsidP="5C4C4A36">
      <w:pPr>
        <w:rPr>
          <w:i/>
          <w:iCs/>
          <w:color w:val="C45911" w:themeColor="accent2" w:themeShade="BF"/>
          <w:lang w:val="nb-NO"/>
        </w:rPr>
      </w:pPr>
    </w:p>
    <w:p w14:paraId="1E7BD669" w14:textId="77777777" w:rsidR="00492001" w:rsidRDefault="00492001" w:rsidP="00492001">
      <w:pPr>
        <w:rPr>
          <w:lang w:val="nb-NO"/>
        </w:rPr>
      </w:pPr>
      <w:r w:rsidRPr="26311EA4">
        <w:rPr>
          <w:rFonts w:asciiTheme="majorHAnsi" w:eastAsiaTheme="majorEastAsia" w:hAnsiTheme="majorHAnsi" w:cstheme="majorBidi"/>
          <w:color w:val="2F5496" w:themeColor="accent1" w:themeShade="BF"/>
          <w:sz w:val="26"/>
          <w:szCs w:val="26"/>
          <w:lang w:val="nb-NO"/>
        </w:rPr>
        <w:t>Faglig ledelse</w:t>
      </w:r>
    </w:p>
    <w:tbl>
      <w:tblPr>
        <w:tblStyle w:val="TableGrid"/>
        <w:tblW w:w="0" w:type="auto"/>
        <w:tblLayout w:type="fixed"/>
        <w:tblLook w:val="06A0" w:firstRow="1" w:lastRow="0" w:firstColumn="1" w:lastColumn="0" w:noHBand="1" w:noVBand="1"/>
      </w:tblPr>
      <w:tblGrid>
        <w:gridCol w:w="9360"/>
      </w:tblGrid>
      <w:tr w:rsidR="00492001" w:rsidRPr="0061440E" w14:paraId="32D2E272" w14:textId="77777777" w:rsidTr="5C4C4A36">
        <w:tc>
          <w:tcPr>
            <w:tcW w:w="9360" w:type="dxa"/>
          </w:tcPr>
          <w:p w14:paraId="0FDD2B4D" w14:textId="77777777" w:rsidR="00492001" w:rsidRDefault="00492001" w:rsidP="001C2291">
            <w:pPr>
              <w:pStyle w:val="Heading4"/>
              <w:outlineLvl w:val="3"/>
              <w:rPr>
                <w:rFonts w:eastAsia="Arial"/>
                <w:lang w:val="nb-NO"/>
              </w:rPr>
            </w:pPr>
            <w:r w:rsidRPr="5990D8B9">
              <w:rPr>
                <w:color w:val="auto"/>
                <w:lang w:val="nb-NO"/>
              </w:rPr>
              <w:t>§ 2-3</w:t>
            </w:r>
            <w:r w:rsidRPr="5990D8B9">
              <w:rPr>
                <w:rFonts w:eastAsia="Arial"/>
                <w:color w:val="auto"/>
                <w:lang w:val="nb-NO"/>
              </w:rPr>
              <w:t xml:space="preserve"> (3): </w:t>
            </w:r>
            <w:r w:rsidRPr="5990D8B9">
              <w:rPr>
                <w:rFonts w:eastAsia="Arial"/>
                <w:lang w:val="nb-NO"/>
              </w:rPr>
              <w:t>Studietilbudet skal ha en tydelig faglig ledelse med et definert ansvar for kvalitetssikring og -utvikling av studiet.</w:t>
            </w:r>
          </w:p>
        </w:tc>
      </w:tr>
    </w:tbl>
    <w:p w14:paraId="025EDB94" w14:textId="3ED1CC72" w:rsidR="00492001" w:rsidRPr="00106E5B" w:rsidRDefault="7068D1E4" w:rsidP="5C4C4A36">
      <w:pPr>
        <w:rPr>
          <w:i/>
          <w:iCs/>
          <w:color w:val="C45911" w:themeColor="accent2" w:themeShade="BF"/>
          <w:lang w:val="nb-NO"/>
        </w:rPr>
      </w:pPr>
      <w:r w:rsidRPr="5C4C4A36">
        <w:rPr>
          <w:rFonts w:eastAsia="Arial"/>
          <w:i/>
          <w:iCs/>
          <w:color w:val="C45911" w:themeColor="accent2" w:themeShade="BF"/>
          <w:lang w:val="nb-NO"/>
        </w:rPr>
        <w:t>Veiledning fra NOKUT:</w:t>
      </w:r>
      <w:r w:rsidRPr="5C4C4A36">
        <w:rPr>
          <w:i/>
          <w:iCs/>
          <w:color w:val="C45911" w:themeColor="accent2" w:themeShade="BF"/>
          <w:lang w:val="nb-NO"/>
        </w:rPr>
        <w:t xml:space="preserve"> </w:t>
      </w:r>
    </w:p>
    <w:p w14:paraId="18F2A16C" w14:textId="3E9CB3F4" w:rsidR="00492001" w:rsidRPr="00106E5B" w:rsidRDefault="00492001" w:rsidP="5C4C4A36">
      <w:pPr>
        <w:rPr>
          <w:i/>
          <w:iCs/>
          <w:color w:val="C45911" w:themeColor="accent2" w:themeShade="BF"/>
          <w:lang w:val="nb-NO"/>
        </w:rPr>
      </w:pPr>
      <w:r w:rsidRPr="5C4C4A36">
        <w:rPr>
          <w:i/>
          <w:iCs/>
          <w:color w:val="C45911" w:themeColor="accent2" w:themeShade="BF"/>
          <w:lang w:val="nb-NO"/>
        </w:rPr>
        <w:t>Kompleksiteten i ansvarsforhold og oppgaver ved høyere utdanningsinstitusjoner skaper også ulike forutsetninger for utøvelse av ledelse</w:t>
      </w:r>
      <w:r w:rsidRPr="5C4C4A36">
        <w:rPr>
          <w:i/>
          <w:iCs/>
          <w:color w:val="C45911" w:themeColor="accent2" w:themeShade="BF"/>
          <w:sz w:val="14"/>
          <w:szCs w:val="14"/>
          <w:lang w:val="nb-NO"/>
        </w:rPr>
        <w:t>8</w:t>
      </w:r>
      <w:r w:rsidRPr="5C4C4A36">
        <w:rPr>
          <w:i/>
          <w:iCs/>
          <w:color w:val="C45911" w:themeColor="accent2" w:themeShade="BF"/>
          <w:lang w:val="nb-NO"/>
        </w:rPr>
        <w:t xml:space="preserve">. Kompleksiteten skaper rom for lokale tilpasninger og NOKUT legger derfor ingen føringer på hvilket nivå studietilbudets ledelse skal etableres på eller hvordan den organiseres. </w:t>
      </w:r>
    </w:p>
    <w:p w14:paraId="2F277212" w14:textId="77777777" w:rsidR="00492001" w:rsidRPr="00214597" w:rsidRDefault="00492001" w:rsidP="5C4C4A36">
      <w:pPr>
        <w:rPr>
          <w:i/>
          <w:iCs/>
          <w:color w:val="C45911" w:themeColor="accent2" w:themeShade="BF"/>
          <w:lang w:val="nb-NO"/>
        </w:rPr>
      </w:pPr>
      <w:r w:rsidRPr="5C4C4A36">
        <w:rPr>
          <w:i/>
          <w:iCs/>
          <w:color w:val="C45911" w:themeColor="accent2" w:themeShade="BF"/>
          <w:lang w:val="nb-NO"/>
        </w:rPr>
        <w:t>Kravet alle institusjoner må oppfylle er at den faglige ledelsen skal bestå av ansatte i undervisnings- og forskerstillinger og ha det formelle ansvaret for at studiet gjennomføres i henhold til studieplanen og at studieplanen utvikles. Det faglige ansvaret kan plasseres hos enkeltpersoner eller i et definert fagfellesskap, og den faglige ledelsen kan være knyttet til ett enkelt studietilbud eller til en bredere portefølje av studietilbud ved institusjonen. Den/de som har det faglige ansvaret må ha kompetanse til å drive kvalitetssikring og kvalitetsutvikling av studietilbudet.</w:t>
      </w:r>
    </w:p>
    <w:p w14:paraId="7CAE2071" w14:textId="77777777" w:rsidR="00492001" w:rsidRDefault="00492001" w:rsidP="00492001">
      <w:pPr>
        <w:pStyle w:val="Heading4"/>
        <w:rPr>
          <w:rFonts w:eastAsia="Arial"/>
          <w:lang w:val="nb-NO"/>
        </w:rPr>
      </w:pPr>
    </w:p>
    <w:p w14:paraId="3F1F90C1" w14:textId="77777777" w:rsidR="00492001" w:rsidRDefault="00492001" w:rsidP="00492001">
      <w:pPr>
        <w:pStyle w:val="Heading2"/>
        <w:rPr>
          <w:lang w:val="nb-NO"/>
        </w:rPr>
      </w:pPr>
      <w:bookmarkStart w:id="13" w:name="_Toc31113862"/>
      <w:r w:rsidRPr="26311EA4">
        <w:rPr>
          <w:lang w:val="nb-NO"/>
        </w:rPr>
        <w:t>Fagmiljøets fagspesifikke kompetanse</w:t>
      </w:r>
      <w:bookmarkEnd w:id="13"/>
    </w:p>
    <w:tbl>
      <w:tblPr>
        <w:tblStyle w:val="TableGrid"/>
        <w:tblW w:w="0" w:type="auto"/>
        <w:tblLayout w:type="fixed"/>
        <w:tblLook w:val="06A0" w:firstRow="1" w:lastRow="0" w:firstColumn="1" w:lastColumn="0" w:noHBand="1" w:noVBand="1"/>
      </w:tblPr>
      <w:tblGrid>
        <w:gridCol w:w="9360"/>
      </w:tblGrid>
      <w:tr w:rsidR="00492001" w:rsidRPr="0061440E" w14:paraId="76612997" w14:textId="77777777" w:rsidTr="5C4C4A36">
        <w:tc>
          <w:tcPr>
            <w:tcW w:w="9360" w:type="dxa"/>
          </w:tcPr>
          <w:p w14:paraId="3900FFC6" w14:textId="77777777" w:rsidR="00492001" w:rsidRDefault="00492001" w:rsidP="001C2291">
            <w:pPr>
              <w:pStyle w:val="Heading4"/>
              <w:outlineLvl w:val="3"/>
              <w:rPr>
                <w:rFonts w:eastAsia="Arial"/>
                <w:lang w:val="nb-NO"/>
              </w:rPr>
            </w:pPr>
            <w:r w:rsidRPr="5990D8B9">
              <w:rPr>
                <w:color w:val="auto"/>
                <w:lang w:val="nb-NO"/>
              </w:rPr>
              <w:t>§ 2-3</w:t>
            </w:r>
            <w:r w:rsidRPr="5990D8B9">
              <w:rPr>
                <w:rFonts w:eastAsia="Arial"/>
                <w:color w:val="auto"/>
                <w:lang w:val="nb-NO"/>
              </w:rPr>
              <w:t xml:space="preserve"> (5): F</w:t>
            </w:r>
            <w:r w:rsidRPr="5990D8B9">
              <w:rPr>
                <w:rFonts w:eastAsia="Arial"/>
                <w:lang w:val="nb-NO"/>
              </w:rPr>
              <w:t>agmiljøet tilknyttet studietilbudet skal drive forskning og/eller kunstnerisk utviklingsarbeid og faglig utviklingsarbeid og skal kunne vise til dokumenterte resultater med en kvalitet og et omfang som er tilfredsstillende for studietilbudets innhold og nivå.</w:t>
            </w:r>
          </w:p>
        </w:tc>
      </w:tr>
    </w:tbl>
    <w:p w14:paraId="34FACC93" w14:textId="4173B468" w:rsidR="006A3956" w:rsidRPr="006A3956" w:rsidRDefault="18F2F4FC" w:rsidP="5C4C4A36">
      <w:pPr>
        <w:rPr>
          <w:i/>
          <w:iCs/>
          <w:highlight w:val="cyan"/>
          <w:lang w:val="nb-NO"/>
        </w:rPr>
      </w:pPr>
      <w:r w:rsidRPr="5C4C4A36">
        <w:rPr>
          <w:rFonts w:eastAsia="Arial"/>
          <w:i/>
          <w:iCs/>
          <w:color w:val="C45911" w:themeColor="accent2" w:themeShade="BF"/>
          <w:lang w:val="nb-NO"/>
        </w:rPr>
        <w:t>Veiledning fra NOKUT:</w:t>
      </w:r>
      <w:r w:rsidRPr="5C4C4A36">
        <w:rPr>
          <w:i/>
          <w:iCs/>
          <w:lang w:val="nb-NO"/>
        </w:rPr>
        <w:t xml:space="preserve"> </w:t>
      </w:r>
    </w:p>
    <w:p w14:paraId="3241675D" w14:textId="661751DE" w:rsidR="006A3956" w:rsidRPr="006A3956" w:rsidRDefault="006A3956" w:rsidP="5C4C4A36">
      <w:pPr>
        <w:rPr>
          <w:i/>
          <w:iCs/>
          <w:color w:val="C45911" w:themeColor="accent2" w:themeShade="BF"/>
          <w:lang w:val="nb-NO"/>
        </w:rPr>
      </w:pPr>
      <w:r w:rsidRPr="5C4C4A36">
        <w:rPr>
          <w:i/>
          <w:iCs/>
          <w:color w:val="C45911" w:themeColor="accent2" w:themeShade="BF"/>
          <w:lang w:val="nb-NO"/>
        </w:rPr>
        <w:t>Kravene til fagmiljøenes dokumenterte resultater er regulert i studiekvalitetsforskriften for så vidt gjelder studietilbud på mastergrads- og doktorgradsnivå, jf. studiekvalitetsforskriften §§ 3-2 (3) og 3-3 (3). For studietilbud på bachelorgradsnivå gjelder kun denne bestemmelsen.</w:t>
      </w:r>
    </w:p>
    <w:p w14:paraId="04388D6D" w14:textId="12273048" w:rsidR="00492001" w:rsidRDefault="006A3956" w:rsidP="5C4C4A36">
      <w:pPr>
        <w:rPr>
          <w:i/>
          <w:iCs/>
          <w:color w:val="C45911" w:themeColor="accent2" w:themeShade="BF"/>
          <w:lang w:val="nb-NO"/>
        </w:rPr>
      </w:pPr>
      <w:r w:rsidRPr="5C4C4A36">
        <w:rPr>
          <w:i/>
          <w:iCs/>
          <w:color w:val="C45911" w:themeColor="accent2" w:themeShade="BF"/>
          <w:lang w:val="nb-NO"/>
        </w:rPr>
        <w:t>Et omfang som står i forhold til studietilbudets nivå, innebærer for eksempel at det vil kreves større aktivitet innen forskning og/eller kunstnerisk utviklingsarbeid knyttet til et mastergradsstudium enn til et bachelorgradsstudium.</w:t>
      </w:r>
    </w:p>
    <w:p w14:paraId="1A8D398F" w14:textId="77777777" w:rsidR="005D0F81" w:rsidRPr="00E23700" w:rsidRDefault="00461EE5" w:rsidP="5C4C4A36">
      <w:pPr>
        <w:rPr>
          <w:i/>
          <w:iCs/>
          <w:color w:val="C45911" w:themeColor="accent2" w:themeShade="BF"/>
          <w:lang w:val="nb-NO"/>
        </w:rPr>
      </w:pPr>
      <w:r w:rsidRPr="5C4C4A36">
        <w:rPr>
          <w:i/>
          <w:iCs/>
          <w:color w:val="C45911" w:themeColor="accent2" w:themeShade="BF"/>
          <w:lang w:val="nb-NO"/>
        </w:rPr>
        <w:t>Fagmiljøet skal drive forskning og/eller kunstnerisk utviklingsarbeid og faglig utviklingsarbeid (FoU/KU) tilpasset studiets egenart. Størrelsen og kompetansen til fagmiljøet må også være tilpasset behov for forskning og faglig og/eller kunstnerisk utviklingsarbeid.</w:t>
      </w:r>
    </w:p>
    <w:p w14:paraId="2EA713FF" w14:textId="77777777" w:rsidR="005D0F81" w:rsidRPr="00E23700" w:rsidRDefault="00461EE5" w:rsidP="5C4C4A36">
      <w:pPr>
        <w:rPr>
          <w:i/>
          <w:iCs/>
          <w:color w:val="C45911" w:themeColor="accent2" w:themeShade="BF"/>
          <w:lang w:val="nb-NO"/>
        </w:rPr>
      </w:pPr>
      <w:r w:rsidRPr="5C4C4A36">
        <w:rPr>
          <w:i/>
          <w:iCs/>
          <w:color w:val="C45911" w:themeColor="accent2" w:themeShade="BF"/>
          <w:lang w:val="nb-NO"/>
        </w:rPr>
        <w:t>Publiseringsomfang, h-indeks, siteringsindeks, publikasjonspoeng, priser, patenter, internasjonale bransjeakkrediteringer, Forskningsrådets fagevalueringer, publiserte utstillingskataloger eller andre</w:t>
      </w:r>
      <w:r w:rsidR="005D0F81" w:rsidRPr="5C4C4A36">
        <w:rPr>
          <w:i/>
          <w:iCs/>
          <w:color w:val="C45911" w:themeColor="accent2" w:themeShade="BF"/>
          <w:lang w:val="nb-NO"/>
        </w:rPr>
        <w:t xml:space="preserve"> indikasjoner på kvalitet som er anerkjente i fagfeltet, kan være måter å dokumentere resultater på. Det er institusjonenes ansvar å finne egnede dokumentasjonsmåter.</w:t>
      </w:r>
    </w:p>
    <w:p w14:paraId="0473F74D" w14:textId="6375FE9F" w:rsidR="006A3956" w:rsidRPr="00E23700" w:rsidRDefault="005D0F81" w:rsidP="5C4C4A36">
      <w:pPr>
        <w:rPr>
          <w:i/>
          <w:iCs/>
          <w:color w:val="C45911" w:themeColor="accent2" w:themeShade="BF"/>
          <w:lang w:val="nb-NO"/>
        </w:rPr>
      </w:pPr>
      <w:r w:rsidRPr="5C4C4A36">
        <w:rPr>
          <w:i/>
          <w:iCs/>
          <w:color w:val="C45911" w:themeColor="accent2" w:themeShade="BF"/>
          <w:lang w:val="nb-NO"/>
        </w:rPr>
        <w:t>For nye søkere vil de sakkyndige kunne vurdere dokumenterte resultater som fagmiljøet har fra tidligere. Nye søkere må uansett kunne dokumentere planer for å drive relevant FoU/KU ved søkerinstitusjonen og hvordan det skal etableres et godt og stabilt forskningsmiljø ved institusjonen. For søkere som har akkrediterte studier fra tidligere, er det fagmiljøets FoU/KU- resultater ved institusjonen som vurderes.</w:t>
      </w:r>
    </w:p>
    <w:p w14:paraId="73E7C45F" w14:textId="77777777" w:rsidR="006A3956" w:rsidRPr="006A3956" w:rsidRDefault="006A3956" w:rsidP="006A3956">
      <w:pPr>
        <w:rPr>
          <w:i/>
          <w:iCs/>
          <w:lang w:val="nb-NO"/>
        </w:rPr>
      </w:pPr>
    </w:p>
    <w:p w14:paraId="0896418D" w14:textId="77777777" w:rsidR="00492001" w:rsidRDefault="00492001" w:rsidP="00492001">
      <w:pPr>
        <w:pStyle w:val="Heading2"/>
        <w:rPr>
          <w:lang w:val="nb-NO"/>
        </w:rPr>
      </w:pPr>
      <w:bookmarkStart w:id="14" w:name="_Toc31113863"/>
      <w:r w:rsidRPr="26311EA4">
        <w:rPr>
          <w:lang w:val="nb-NO"/>
        </w:rPr>
        <w:t>Internasjonalt og nasjonalt samarbeid</w:t>
      </w:r>
      <w:bookmarkEnd w:id="14"/>
    </w:p>
    <w:tbl>
      <w:tblPr>
        <w:tblStyle w:val="TableGrid"/>
        <w:tblW w:w="0" w:type="auto"/>
        <w:tblLayout w:type="fixed"/>
        <w:tblLook w:val="06A0" w:firstRow="1" w:lastRow="0" w:firstColumn="1" w:lastColumn="0" w:noHBand="1" w:noVBand="1"/>
      </w:tblPr>
      <w:tblGrid>
        <w:gridCol w:w="9360"/>
      </w:tblGrid>
      <w:tr w:rsidR="00492001" w:rsidRPr="0061440E" w14:paraId="29D68F8F" w14:textId="77777777" w:rsidTr="5C4C4A36">
        <w:tc>
          <w:tcPr>
            <w:tcW w:w="9360" w:type="dxa"/>
          </w:tcPr>
          <w:p w14:paraId="075D857C" w14:textId="77777777" w:rsidR="00492001" w:rsidRDefault="00492001" w:rsidP="001C2291">
            <w:pPr>
              <w:pStyle w:val="Heading4"/>
              <w:outlineLvl w:val="3"/>
              <w:rPr>
                <w:lang w:val="nb-NO"/>
              </w:rPr>
            </w:pPr>
            <w:r w:rsidRPr="5990D8B9">
              <w:rPr>
                <w:color w:val="auto"/>
                <w:lang w:val="nb-NO"/>
              </w:rPr>
              <w:t>§ 2-3</w:t>
            </w:r>
            <w:r w:rsidRPr="5990D8B9">
              <w:rPr>
                <w:rFonts w:eastAsia="Arial"/>
                <w:color w:val="auto"/>
                <w:lang w:val="nb-NO"/>
              </w:rPr>
              <w:t xml:space="preserve"> (6):</w:t>
            </w:r>
            <w:r w:rsidRPr="5990D8B9">
              <w:rPr>
                <w:rFonts w:eastAsia="Arial"/>
                <w:lang w:val="nb-NO"/>
              </w:rPr>
              <w:t xml:space="preserve"> Fagmiljøet tilknyttet studietilbud som fører fram til en grad, skal delta aktivt i nasjonale og internasjonale samarbeid og nettverk som er relevante for studietilbudet.</w:t>
            </w:r>
          </w:p>
        </w:tc>
      </w:tr>
    </w:tbl>
    <w:p w14:paraId="7C65A900" w14:textId="7003ABAB" w:rsidR="00C43D8D" w:rsidRPr="00492001" w:rsidRDefault="7B479F64" w:rsidP="750D25F6">
      <w:pPr>
        <w:rPr>
          <w:rFonts w:ascii="Calibri" w:eastAsia="Calibri" w:hAnsi="Calibri" w:cs="Calibri"/>
          <w:highlight w:val="cyan"/>
          <w:lang w:val="nb-NO"/>
        </w:rPr>
      </w:pPr>
      <w:r w:rsidRPr="750D25F6">
        <w:rPr>
          <w:rFonts w:eastAsia="Arial"/>
          <w:i/>
          <w:iCs/>
          <w:color w:val="C45911" w:themeColor="accent2" w:themeShade="BF"/>
          <w:lang w:val="nb-NO"/>
        </w:rPr>
        <w:t>Veiledning fra NOKUT:</w:t>
      </w:r>
    </w:p>
    <w:p w14:paraId="0C37EDBB" w14:textId="31812D9A" w:rsidR="00C43D8D" w:rsidRPr="00492001" w:rsidRDefault="7B479F64">
      <w:pPr>
        <w:rPr>
          <w:rFonts w:ascii="Calibri" w:eastAsia="Calibri" w:hAnsi="Calibri" w:cs="Calibri"/>
          <w:i/>
          <w:color w:val="C45911" w:themeColor="accent2" w:themeShade="BF"/>
          <w:lang w:val="nb-NO"/>
        </w:rPr>
      </w:pPr>
      <w:r w:rsidRPr="750D25F6">
        <w:rPr>
          <w:rFonts w:ascii="Calibri" w:eastAsia="Calibri" w:hAnsi="Calibri" w:cs="Calibri"/>
          <w:i/>
          <w:iCs/>
          <w:color w:val="C45911" w:themeColor="accent2" w:themeShade="BF"/>
          <w:lang w:val="nb-NO"/>
        </w:rPr>
        <w:t xml:space="preserve"> </w:t>
      </w:r>
      <w:r w:rsidR="00492001" w:rsidRPr="750D25F6">
        <w:rPr>
          <w:rFonts w:ascii="Calibri" w:eastAsia="Calibri" w:hAnsi="Calibri" w:cs="Calibri"/>
          <w:i/>
          <w:color w:val="C45911" w:themeColor="accent2" w:themeShade="BF"/>
          <w:lang w:val="nb-NO"/>
        </w:rPr>
        <w:t>Med «samarbeid og nettverk relevante for studiet» menes samarbeid og nettverk som gir fagmiljøet erfaringer som kan brukes i studiet og som kan bidra til utdanningskvalitet. Det kan for eksempel være forskningssamarbeid, deltakelse på internasjonale konferanser, samarbeid om utdanningskvalitet o.l. Det er nettverkene som fagmiljøet deltar aktivt i, som vurderes. Det skal gis en begrunnelse i søknaden for at disse er relevante for studietilbudet.</w:t>
      </w:r>
    </w:p>
    <w:sectPr w:rsidR="00C43D8D" w:rsidRPr="0049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363"/>
    <w:multiLevelType w:val="hybridMultilevel"/>
    <w:tmpl w:val="54084AAC"/>
    <w:lvl w:ilvl="0" w:tplc="3618C7D6">
      <w:start w:val="1"/>
      <w:numFmt w:val="bullet"/>
      <w:lvlText w:val=""/>
      <w:lvlJc w:val="left"/>
      <w:pPr>
        <w:ind w:left="720" w:hanging="360"/>
      </w:pPr>
      <w:rPr>
        <w:rFonts w:ascii="Wingdings" w:hAnsi="Wingdings" w:hint="default"/>
      </w:rPr>
    </w:lvl>
    <w:lvl w:ilvl="1" w:tplc="D180CCF2">
      <w:start w:val="1"/>
      <w:numFmt w:val="bullet"/>
      <w:lvlText w:val="o"/>
      <w:lvlJc w:val="left"/>
      <w:pPr>
        <w:ind w:left="1440" w:hanging="360"/>
      </w:pPr>
      <w:rPr>
        <w:rFonts w:ascii="Courier New" w:hAnsi="Courier New" w:hint="default"/>
      </w:rPr>
    </w:lvl>
    <w:lvl w:ilvl="2" w:tplc="F46C7A7E">
      <w:start w:val="1"/>
      <w:numFmt w:val="bullet"/>
      <w:lvlText w:val=""/>
      <w:lvlJc w:val="left"/>
      <w:pPr>
        <w:ind w:left="2160" w:hanging="360"/>
      </w:pPr>
      <w:rPr>
        <w:rFonts w:ascii="Wingdings" w:hAnsi="Wingdings" w:hint="default"/>
      </w:rPr>
    </w:lvl>
    <w:lvl w:ilvl="3" w:tplc="A48E4974">
      <w:start w:val="1"/>
      <w:numFmt w:val="bullet"/>
      <w:lvlText w:val=""/>
      <w:lvlJc w:val="left"/>
      <w:pPr>
        <w:ind w:left="2880" w:hanging="360"/>
      </w:pPr>
      <w:rPr>
        <w:rFonts w:ascii="Symbol" w:hAnsi="Symbol" w:hint="default"/>
      </w:rPr>
    </w:lvl>
    <w:lvl w:ilvl="4" w:tplc="4FAE5844">
      <w:start w:val="1"/>
      <w:numFmt w:val="bullet"/>
      <w:lvlText w:val="o"/>
      <w:lvlJc w:val="left"/>
      <w:pPr>
        <w:ind w:left="3600" w:hanging="360"/>
      </w:pPr>
      <w:rPr>
        <w:rFonts w:ascii="Courier New" w:hAnsi="Courier New" w:hint="default"/>
      </w:rPr>
    </w:lvl>
    <w:lvl w:ilvl="5" w:tplc="86947B98">
      <w:start w:val="1"/>
      <w:numFmt w:val="bullet"/>
      <w:lvlText w:val=""/>
      <w:lvlJc w:val="left"/>
      <w:pPr>
        <w:ind w:left="4320" w:hanging="360"/>
      </w:pPr>
      <w:rPr>
        <w:rFonts w:ascii="Wingdings" w:hAnsi="Wingdings" w:hint="default"/>
      </w:rPr>
    </w:lvl>
    <w:lvl w:ilvl="6" w:tplc="F49A5E9A">
      <w:start w:val="1"/>
      <w:numFmt w:val="bullet"/>
      <w:lvlText w:val=""/>
      <w:lvlJc w:val="left"/>
      <w:pPr>
        <w:ind w:left="5040" w:hanging="360"/>
      </w:pPr>
      <w:rPr>
        <w:rFonts w:ascii="Symbol" w:hAnsi="Symbol" w:hint="default"/>
      </w:rPr>
    </w:lvl>
    <w:lvl w:ilvl="7" w:tplc="A39C2710">
      <w:start w:val="1"/>
      <w:numFmt w:val="bullet"/>
      <w:lvlText w:val="o"/>
      <w:lvlJc w:val="left"/>
      <w:pPr>
        <w:ind w:left="5760" w:hanging="360"/>
      </w:pPr>
      <w:rPr>
        <w:rFonts w:ascii="Courier New" w:hAnsi="Courier New" w:hint="default"/>
      </w:rPr>
    </w:lvl>
    <w:lvl w:ilvl="8" w:tplc="1652CE84">
      <w:start w:val="1"/>
      <w:numFmt w:val="bullet"/>
      <w:lvlText w:val=""/>
      <w:lvlJc w:val="left"/>
      <w:pPr>
        <w:ind w:left="6480" w:hanging="360"/>
      </w:pPr>
      <w:rPr>
        <w:rFonts w:ascii="Wingdings" w:hAnsi="Wingdings" w:hint="default"/>
      </w:rPr>
    </w:lvl>
  </w:abstractNum>
  <w:abstractNum w:abstractNumId="1" w15:restartNumberingAfterBreak="0">
    <w:nsid w:val="248362D3"/>
    <w:multiLevelType w:val="hybridMultilevel"/>
    <w:tmpl w:val="22F0BD0A"/>
    <w:lvl w:ilvl="0" w:tplc="CF2C6978">
      <w:start w:val="1"/>
      <w:numFmt w:val="bullet"/>
      <w:lvlText w:val=""/>
      <w:lvlJc w:val="left"/>
      <w:pPr>
        <w:ind w:left="720" w:hanging="360"/>
      </w:pPr>
      <w:rPr>
        <w:rFonts w:ascii="Wingdings" w:hAnsi="Wingdings" w:hint="default"/>
      </w:rPr>
    </w:lvl>
    <w:lvl w:ilvl="1" w:tplc="A2A62A64">
      <w:start w:val="1"/>
      <w:numFmt w:val="bullet"/>
      <w:lvlText w:val="o"/>
      <w:lvlJc w:val="left"/>
      <w:pPr>
        <w:ind w:left="1440" w:hanging="360"/>
      </w:pPr>
      <w:rPr>
        <w:rFonts w:ascii="Courier New" w:hAnsi="Courier New" w:hint="default"/>
      </w:rPr>
    </w:lvl>
    <w:lvl w:ilvl="2" w:tplc="8264996C">
      <w:start w:val="1"/>
      <w:numFmt w:val="bullet"/>
      <w:lvlText w:val=""/>
      <w:lvlJc w:val="left"/>
      <w:pPr>
        <w:ind w:left="2160" w:hanging="360"/>
      </w:pPr>
      <w:rPr>
        <w:rFonts w:ascii="Wingdings" w:hAnsi="Wingdings" w:hint="default"/>
      </w:rPr>
    </w:lvl>
    <w:lvl w:ilvl="3" w:tplc="46D27D10">
      <w:start w:val="1"/>
      <w:numFmt w:val="bullet"/>
      <w:lvlText w:val=""/>
      <w:lvlJc w:val="left"/>
      <w:pPr>
        <w:ind w:left="2880" w:hanging="360"/>
      </w:pPr>
      <w:rPr>
        <w:rFonts w:ascii="Symbol" w:hAnsi="Symbol" w:hint="default"/>
      </w:rPr>
    </w:lvl>
    <w:lvl w:ilvl="4" w:tplc="73B098DE">
      <w:start w:val="1"/>
      <w:numFmt w:val="bullet"/>
      <w:lvlText w:val="o"/>
      <w:lvlJc w:val="left"/>
      <w:pPr>
        <w:ind w:left="3600" w:hanging="360"/>
      </w:pPr>
      <w:rPr>
        <w:rFonts w:ascii="Courier New" w:hAnsi="Courier New" w:hint="default"/>
      </w:rPr>
    </w:lvl>
    <w:lvl w:ilvl="5" w:tplc="E30617FA">
      <w:start w:val="1"/>
      <w:numFmt w:val="bullet"/>
      <w:lvlText w:val=""/>
      <w:lvlJc w:val="left"/>
      <w:pPr>
        <w:ind w:left="4320" w:hanging="360"/>
      </w:pPr>
      <w:rPr>
        <w:rFonts w:ascii="Wingdings" w:hAnsi="Wingdings" w:hint="default"/>
      </w:rPr>
    </w:lvl>
    <w:lvl w:ilvl="6" w:tplc="3DD47078">
      <w:start w:val="1"/>
      <w:numFmt w:val="bullet"/>
      <w:lvlText w:val=""/>
      <w:lvlJc w:val="left"/>
      <w:pPr>
        <w:ind w:left="5040" w:hanging="360"/>
      </w:pPr>
      <w:rPr>
        <w:rFonts w:ascii="Symbol" w:hAnsi="Symbol" w:hint="default"/>
      </w:rPr>
    </w:lvl>
    <w:lvl w:ilvl="7" w:tplc="3086F918">
      <w:start w:val="1"/>
      <w:numFmt w:val="bullet"/>
      <w:lvlText w:val="o"/>
      <w:lvlJc w:val="left"/>
      <w:pPr>
        <w:ind w:left="5760" w:hanging="360"/>
      </w:pPr>
      <w:rPr>
        <w:rFonts w:ascii="Courier New" w:hAnsi="Courier New" w:hint="default"/>
      </w:rPr>
    </w:lvl>
    <w:lvl w:ilvl="8" w:tplc="9D729C16">
      <w:start w:val="1"/>
      <w:numFmt w:val="bullet"/>
      <w:lvlText w:val=""/>
      <w:lvlJc w:val="left"/>
      <w:pPr>
        <w:ind w:left="6480" w:hanging="360"/>
      </w:pPr>
      <w:rPr>
        <w:rFonts w:ascii="Wingdings" w:hAnsi="Wingdings" w:hint="default"/>
      </w:rPr>
    </w:lvl>
  </w:abstractNum>
  <w:abstractNum w:abstractNumId="2" w15:restartNumberingAfterBreak="0">
    <w:nsid w:val="24D12A10"/>
    <w:multiLevelType w:val="hybridMultilevel"/>
    <w:tmpl w:val="D51C10E0"/>
    <w:lvl w:ilvl="0" w:tplc="B736177E">
      <w:start w:val="1"/>
      <w:numFmt w:val="bullet"/>
      <w:lvlText w:val=""/>
      <w:lvlJc w:val="left"/>
      <w:pPr>
        <w:ind w:left="720" w:hanging="360"/>
      </w:pPr>
      <w:rPr>
        <w:rFonts w:ascii="Wingdings" w:hAnsi="Wingdings" w:hint="default"/>
      </w:rPr>
    </w:lvl>
    <w:lvl w:ilvl="1" w:tplc="B3E87960">
      <w:start w:val="1"/>
      <w:numFmt w:val="bullet"/>
      <w:lvlText w:val="o"/>
      <w:lvlJc w:val="left"/>
      <w:pPr>
        <w:ind w:left="1440" w:hanging="360"/>
      </w:pPr>
      <w:rPr>
        <w:rFonts w:ascii="Courier New" w:hAnsi="Courier New" w:hint="default"/>
      </w:rPr>
    </w:lvl>
    <w:lvl w:ilvl="2" w:tplc="B2AE6E10">
      <w:start w:val="1"/>
      <w:numFmt w:val="bullet"/>
      <w:lvlText w:val=""/>
      <w:lvlJc w:val="left"/>
      <w:pPr>
        <w:ind w:left="2160" w:hanging="360"/>
      </w:pPr>
      <w:rPr>
        <w:rFonts w:ascii="Wingdings" w:hAnsi="Wingdings" w:hint="default"/>
      </w:rPr>
    </w:lvl>
    <w:lvl w:ilvl="3" w:tplc="C1E60990">
      <w:start w:val="1"/>
      <w:numFmt w:val="bullet"/>
      <w:lvlText w:val=""/>
      <w:lvlJc w:val="left"/>
      <w:pPr>
        <w:ind w:left="2880" w:hanging="360"/>
      </w:pPr>
      <w:rPr>
        <w:rFonts w:ascii="Symbol" w:hAnsi="Symbol" w:hint="default"/>
      </w:rPr>
    </w:lvl>
    <w:lvl w:ilvl="4" w:tplc="2CE84B8A">
      <w:start w:val="1"/>
      <w:numFmt w:val="bullet"/>
      <w:lvlText w:val="o"/>
      <w:lvlJc w:val="left"/>
      <w:pPr>
        <w:ind w:left="3600" w:hanging="360"/>
      </w:pPr>
      <w:rPr>
        <w:rFonts w:ascii="Courier New" w:hAnsi="Courier New" w:hint="default"/>
      </w:rPr>
    </w:lvl>
    <w:lvl w:ilvl="5" w:tplc="74EC087C">
      <w:start w:val="1"/>
      <w:numFmt w:val="bullet"/>
      <w:lvlText w:val=""/>
      <w:lvlJc w:val="left"/>
      <w:pPr>
        <w:ind w:left="4320" w:hanging="360"/>
      </w:pPr>
      <w:rPr>
        <w:rFonts w:ascii="Wingdings" w:hAnsi="Wingdings" w:hint="default"/>
      </w:rPr>
    </w:lvl>
    <w:lvl w:ilvl="6" w:tplc="DCB0FD10">
      <w:start w:val="1"/>
      <w:numFmt w:val="bullet"/>
      <w:lvlText w:val=""/>
      <w:lvlJc w:val="left"/>
      <w:pPr>
        <w:ind w:left="5040" w:hanging="360"/>
      </w:pPr>
      <w:rPr>
        <w:rFonts w:ascii="Symbol" w:hAnsi="Symbol" w:hint="default"/>
      </w:rPr>
    </w:lvl>
    <w:lvl w:ilvl="7" w:tplc="E3222E9A">
      <w:start w:val="1"/>
      <w:numFmt w:val="bullet"/>
      <w:lvlText w:val="o"/>
      <w:lvlJc w:val="left"/>
      <w:pPr>
        <w:ind w:left="5760" w:hanging="360"/>
      </w:pPr>
      <w:rPr>
        <w:rFonts w:ascii="Courier New" w:hAnsi="Courier New" w:hint="default"/>
      </w:rPr>
    </w:lvl>
    <w:lvl w:ilvl="8" w:tplc="392482A4">
      <w:start w:val="1"/>
      <w:numFmt w:val="bullet"/>
      <w:lvlText w:val=""/>
      <w:lvlJc w:val="left"/>
      <w:pPr>
        <w:ind w:left="6480" w:hanging="360"/>
      </w:pPr>
      <w:rPr>
        <w:rFonts w:ascii="Wingdings" w:hAnsi="Wingdings" w:hint="default"/>
      </w:rPr>
    </w:lvl>
  </w:abstractNum>
  <w:abstractNum w:abstractNumId="3" w15:restartNumberingAfterBreak="0">
    <w:nsid w:val="2AD7248B"/>
    <w:multiLevelType w:val="hybridMultilevel"/>
    <w:tmpl w:val="64C68756"/>
    <w:lvl w:ilvl="0" w:tplc="84287734">
      <w:start w:val="1"/>
      <w:numFmt w:val="bullet"/>
      <w:lvlText w:val=""/>
      <w:lvlJc w:val="left"/>
      <w:pPr>
        <w:ind w:left="720" w:hanging="360"/>
      </w:pPr>
      <w:rPr>
        <w:rFonts w:ascii="Wingdings" w:hAnsi="Wingdings" w:hint="default"/>
      </w:rPr>
    </w:lvl>
    <w:lvl w:ilvl="1" w:tplc="7E42094C">
      <w:start w:val="1"/>
      <w:numFmt w:val="bullet"/>
      <w:lvlText w:val="o"/>
      <w:lvlJc w:val="left"/>
      <w:pPr>
        <w:ind w:left="1440" w:hanging="360"/>
      </w:pPr>
      <w:rPr>
        <w:rFonts w:ascii="Courier New" w:hAnsi="Courier New" w:hint="default"/>
      </w:rPr>
    </w:lvl>
    <w:lvl w:ilvl="2" w:tplc="EB9EB35C">
      <w:start w:val="1"/>
      <w:numFmt w:val="bullet"/>
      <w:lvlText w:val=""/>
      <w:lvlJc w:val="left"/>
      <w:pPr>
        <w:ind w:left="2160" w:hanging="360"/>
      </w:pPr>
      <w:rPr>
        <w:rFonts w:ascii="Wingdings" w:hAnsi="Wingdings" w:hint="default"/>
      </w:rPr>
    </w:lvl>
    <w:lvl w:ilvl="3" w:tplc="4818296E">
      <w:start w:val="1"/>
      <w:numFmt w:val="bullet"/>
      <w:lvlText w:val=""/>
      <w:lvlJc w:val="left"/>
      <w:pPr>
        <w:ind w:left="2880" w:hanging="360"/>
      </w:pPr>
      <w:rPr>
        <w:rFonts w:ascii="Symbol" w:hAnsi="Symbol" w:hint="default"/>
      </w:rPr>
    </w:lvl>
    <w:lvl w:ilvl="4" w:tplc="DF9AB540">
      <w:start w:val="1"/>
      <w:numFmt w:val="bullet"/>
      <w:lvlText w:val="o"/>
      <w:lvlJc w:val="left"/>
      <w:pPr>
        <w:ind w:left="3600" w:hanging="360"/>
      </w:pPr>
      <w:rPr>
        <w:rFonts w:ascii="Courier New" w:hAnsi="Courier New" w:hint="default"/>
      </w:rPr>
    </w:lvl>
    <w:lvl w:ilvl="5" w:tplc="D390B312">
      <w:start w:val="1"/>
      <w:numFmt w:val="bullet"/>
      <w:lvlText w:val=""/>
      <w:lvlJc w:val="left"/>
      <w:pPr>
        <w:ind w:left="4320" w:hanging="360"/>
      </w:pPr>
      <w:rPr>
        <w:rFonts w:ascii="Wingdings" w:hAnsi="Wingdings" w:hint="default"/>
      </w:rPr>
    </w:lvl>
    <w:lvl w:ilvl="6" w:tplc="6608DB7E">
      <w:start w:val="1"/>
      <w:numFmt w:val="bullet"/>
      <w:lvlText w:val=""/>
      <w:lvlJc w:val="left"/>
      <w:pPr>
        <w:ind w:left="5040" w:hanging="360"/>
      </w:pPr>
      <w:rPr>
        <w:rFonts w:ascii="Symbol" w:hAnsi="Symbol" w:hint="default"/>
      </w:rPr>
    </w:lvl>
    <w:lvl w:ilvl="7" w:tplc="0FEC49CE">
      <w:start w:val="1"/>
      <w:numFmt w:val="bullet"/>
      <w:lvlText w:val="o"/>
      <w:lvlJc w:val="left"/>
      <w:pPr>
        <w:ind w:left="5760" w:hanging="360"/>
      </w:pPr>
      <w:rPr>
        <w:rFonts w:ascii="Courier New" w:hAnsi="Courier New" w:hint="default"/>
      </w:rPr>
    </w:lvl>
    <w:lvl w:ilvl="8" w:tplc="DCF4F5BE">
      <w:start w:val="1"/>
      <w:numFmt w:val="bullet"/>
      <w:lvlText w:val=""/>
      <w:lvlJc w:val="left"/>
      <w:pPr>
        <w:ind w:left="6480" w:hanging="360"/>
      </w:pPr>
      <w:rPr>
        <w:rFonts w:ascii="Wingdings" w:hAnsi="Wingdings" w:hint="default"/>
      </w:rPr>
    </w:lvl>
  </w:abstractNum>
  <w:abstractNum w:abstractNumId="4" w15:restartNumberingAfterBreak="0">
    <w:nsid w:val="2BAD55A1"/>
    <w:multiLevelType w:val="hybridMultilevel"/>
    <w:tmpl w:val="6D5E26D0"/>
    <w:lvl w:ilvl="0" w:tplc="3D30DDB4">
      <w:start w:val="1"/>
      <w:numFmt w:val="bullet"/>
      <w:lvlText w:val=""/>
      <w:lvlJc w:val="left"/>
      <w:pPr>
        <w:ind w:left="720" w:hanging="360"/>
      </w:pPr>
      <w:rPr>
        <w:rFonts w:ascii="Symbol" w:hAnsi="Symbol" w:hint="default"/>
      </w:rPr>
    </w:lvl>
    <w:lvl w:ilvl="1" w:tplc="C95A0F1C">
      <w:start w:val="1"/>
      <w:numFmt w:val="bullet"/>
      <w:lvlText w:val="o"/>
      <w:lvlJc w:val="left"/>
      <w:pPr>
        <w:ind w:left="1440" w:hanging="360"/>
      </w:pPr>
      <w:rPr>
        <w:rFonts w:ascii="Courier New" w:hAnsi="Courier New" w:hint="default"/>
      </w:rPr>
    </w:lvl>
    <w:lvl w:ilvl="2" w:tplc="EC5C089C">
      <w:start w:val="1"/>
      <w:numFmt w:val="bullet"/>
      <w:lvlText w:val=""/>
      <w:lvlJc w:val="left"/>
      <w:pPr>
        <w:ind w:left="2160" w:hanging="360"/>
      </w:pPr>
      <w:rPr>
        <w:rFonts w:ascii="Wingdings" w:hAnsi="Wingdings" w:hint="default"/>
      </w:rPr>
    </w:lvl>
    <w:lvl w:ilvl="3" w:tplc="921A74C2">
      <w:start w:val="1"/>
      <w:numFmt w:val="bullet"/>
      <w:lvlText w:val=""/>
      <w:lvlJc w:val="left"/>
      <w:pPr>
        <w:ind w:left="2880" w:hanging="360"/>
      </w:pPr>
      <w:rPr>
        <w:rFonts w:ascii="Symbol" w:hAnsi="Symbol" w:hint="default"/>
      </w:rPr>
    </w:lvl>
    <w:lvl w:ilvl="4" w:tplc="9084B2C4">
      <w:start w:val="1"/>
      <w:numFmt w:val="bullet"/>
      <w:lvlText w:val="o"/>
      <w:lvlJc w:val="left"/>
      <w:pPr>
        <w:ind w:left="3600" w:hanging="360"/>
      </w:pPr>
      <w:rPr>
        <w:rFonts w:ascii="Courier New" w:hAnsi="Courier New" w:hint="default"/>
      </w:rPr>
    </w:lvl>
    <w:lvl w:ilvl="5" w:tplc="A0A422A6">
      <w:start w:val="1"/>
      <w:numFmt w:val="bullet"/>
      <w:lvlText w:val=""/>
      <w:lvlJc w:val="left"/>
      <w:pPr>
        <w:ind w:left="4320" w:hanging="360"/>
      </w:pPr>
      <w:rPr>
        <w:rFonts w:ascii="Wingdings" w:hAnsi="Wingdings" w:hint="default"/>
      </w:rPr>
    </w:lvl>
    <w:lvl w:ilvl="6" w:tplc="8F867D74">
      <w:start w:val="1"/>
      <w:numFmt w:val="bullet"/>
      <w:lvlText w:val=""/>
      <w:lvlJc w:val="left"/>
      <w:pPr>
        <w:ind w:left="5040" w:hanging="360"/>
      </w:pPr>
      <w:rPr>
        <w:rFonts w:ascii="Symbol" w:hAnsi="Symbol" w:hint="default"/>
      </w:rPr>
    </w:lvl>
    <w:lvl w:ilvl="7" w:tplc="2AC2AC7C">
      <w:start w:val="1"/>
      <w:numFmt w:val="bullet"/>
      <w:lvlText w:val="o"/>
      <w:lvlJc w:val="left"/>
      <w:pPr>
        <w:ind w:left="5760" w:hanging="360"/>
      </w:pPr>
      <w:rPr>
        <w:rFonts w:ascii="Courier New" w:hAnsi="Courier New" w:hint="default"/>
      </w:rPr>
    </w:lvl>
    <w:lvl w:ilvl="8" w:tplc="C6901C4A">
      <w:start w:val="1"/>
      <w:numFmt w:val="bullet"/>
      <w:lvlText w:val=""/>
      <w:lvlJc w:val="left"/>
      <w:pPr>
        <w:ind w:left="6480" w:hanging="360"/>
      </w:pPr>
      <w:rPr>
        <w:rFonts w:ascii="Wingdings" w:hAnsi="Wingdings" w:hint="default"/>
      </w:rPr>
    </w:lvl>
  </w:abstractNum>
  <w:abstractNum w:abstractNumId="5" w15:restartNumberingAfterBreak="0">
    <w:nsid w:val="364D6144"/>
    <w:multiLevelType w:val="hybridMultilevel"/>
    <w:tmpl w:val="805249DE"/>
    <w:lvl w:ilvl="0" w:tplc="2A6A7D64">
      <w:start w:val="1"/>
      <w:numFmt w:val="bullet"/>
      <w:lvlText w:val=""/>
      <w:lvlJc w:val="left"/>
      <w:pPr>
        <w:ind w:left="720" w:hanging="360"/>
      </w:pPr>
      <w:rPr>
        <w:rFonts w:ascii="Wingdings" w:hAnsi="Wingdings" w:hint="default"/>
      </w:rPr>
    </w:lvl>
    <w:lvl w:ilvl="1" w:tplc="EB96905C">
      <w:start w:val="1"/>
      <w:numFmt w:val="bullet"/>
      <w:lvlText w:val="o"/>
      <w:lvlJc w:val="left"/>
      <w:pPr>
        <w:ind w:left="1440" w:hanging="360"/>
      </w:pPr>
      <w:rPr>
        <w:rFonts w:ascii="Courier New" w:hAnsi="Courier New" w:hint="default"/>
      </w:rPr>
    </w:lvl>
    <w:lvl w:ilvl="2" w:tplc="7FCA0B9E">
      <w:start w:val="1"/>
      <w:numFmt w:val="bullet"/>
      <w:lvlText w:val=""/>
      <w:lvlJc w:val="left"/>
      <w:pPr>
        <w:ind w:left="2160" w:hanging="360"/>
      </w:pPr>
      <w:rPr>
        <w:rFonts w:ascii="Wingdings" w:hAnsi="Wingdings" w:hint="default"/>
      </w:rPr>
    </w:lvl>
    <w:lvl w:ilvl="3" w:tplc="F2821DAE">
      <w:start w:val="1"/>
      <w:numFmt w:val="bullet"/>
      <w:lvlText w:val=""/>
      <w:lvlJc w:val="left"/>
      <w:pPr>
        <w:ind w:left="2880" w:hanging="360"/>
      </w:pPr>
      <w:rPr>
        <w:rFonts w:ascii="Symbol" w:hAnsi="Symbol" w:hint="default"/>
      </w:rPr>
    </w:lvl>
    <w:lvl w:ilvl="4" w:tplc="DB36674A">
      <w:start w:val="1"/>
      <w:numFmt w:val="bullet"/>
      <w:lvlText w:val="o"/>
      <w:lvlJc w:val="left"/>
      <w:pPr>
        <w:ind w:left="3600" w:hanging="360"/>
      </w:pPr>
      <w:rPr>
        <w:rFonts w:ascii="Courier New" w:hAnsi="Courier New" w:hint="default"/>
      </w:rPr>
    </w:lvl>
    <w:lvl w:ilvl="5" w:tplc="0B5E8F0A">
      <w:start w:val="1"/>
      <w:numFmt w:val="bullet"/>
      <w:lvlText w:val=""/>
      <w:lvlJc w:val="left"/>
      <w:pPr>
        <w:ind w:left="4320" w:hanging="360"/>
      </w:pPr>
      <w:rPr>
        <w:rFonts w:ascii="Wingdings" w:hAnsi="Wingdings" w:hint="default"/>
      </w:rPr>
    </w:lvl>
    <w:lvl w:ilvl="6" w:tplc="1EDC69E0">
      <w:start w:val="1"/>
      <w:numFmt w:val="bullet"/>
      <w:lvlText w:val=""/>
      <w:lvlJc w:val="left"/>
      <w:pPr>
        <w:ind w:left="5040" w:hanging="360"/>
      </w:pPr>
      <w:rPr>
        <w:rFonts w:ascii="Symbol" w:hAnsi="Symbol" w:hint="default"/>
      </w:rPr>
    </w:lvl>
    <w:lvl w:ilvl="7" w:tplc="5686B9DA">
      <w:start w:val="1"/>
      <w:numFmt w:val="bullet"/>
      <w:lvlText w:val="o"/>
      <w:lvlJc w:val="left"/>
      <w:pPr>
        <w:ind w:left="5760" w:hanging="360"/>
      </w:pPr>
      <w:rPr>
        <w:rFonts w:ascii="Courier New" w:hAnsi="Courier New" w:hint="default"/>
      </w:rPr>
    </w:lvl>
    <w:lvl w:ilvl="8" w:tplc="7DBE8624">
      <w:start w:val="1"/>
      <w:numFmt w:val="bullet"/>
      <w:lvlText w:val=""/>
      <w:lvlJc w:val="left"/>
      <w:pPr>
        <w:ind w:left="6480" w:hanging="360"/>
      </w:pPr>
      <w:rPr>
        <w:rFonts w:ascii="Wingdings" w:hAnsi="Wingdings" w:hint="default"/>
      </w:rPr>
    </w:lvl>
  </w:abstractNum>
  <w:abstractNum w:abstractNumId="6" w15:restartNumberingAfterBreak="0">
    <w:nsid w:val="3E546876"/>
    <w:multiLevelType w:val="hybridMultilevel"/>
    <w:tmpl w:val="84BA650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FC7E47"/>
    <w:multiLevelType w:val="hybridMultilevel"/>
    <w:tmpl w:val="F6829486"/>
    <w:lvl w:ilvl="0" w:tplc="FFFFFFFF">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2A240F"/>
    <w:multiLevelType w:val="hybridMultilevel"/>
    <w:tmpl w:val="341430B8"/>
    <w:lvl w:ilvl="0" w:tplc="87181B66">
      <w:start w:val="1"/>
      <w:numFmt w:val="bullet"/>
      <w:lvlText w:val=""/>
      <w:lvlJc w:val="left"/>
      <w:pPr>
        <w:ind w:left="720" w:hanging="360"/>
      </w:pPr>
      <w:rPr>
        <w:rFonts w:ascii="Wingdings" w:hAnsi="Wingdings" w:hint="default"/>
      </w:rPr>
    </w:lvl>
    <w:lvl w:ilvl="1" w:tplc="7E9824A2">
      <w:start w:val="1"/>
      <w:numFmt w:val="bullet"/>
      <w:lvlText w:val="o"/>
      <w:lvlJc w:val="left"/>
      <w:pPr>
        <w:ind w:left="1440" w:hanging="360"/>
      </w:pPr>
      <w:rPr>
        <w:rFonts w:ascii="Courier New" w:hAnsi="Courier New" w:hint="default"/>
      </w:rPr>
    </w:lvl>
    <w:lvl w:ilvl="2" w:tplc="C11CD46E">
      <w:start w:val="1"/>
      <w:numFmt w:val="bullet"/>
      <w:lvlText w:val=""/>
      <w:lvlJc w:val="left"/>
      <w:pPr>
        <w:ind w:left="2160" w:hanging="360"/>
      </w:pPr>
      <w:rPr>
        <w:rFonts w:ascii="Wingdings" w:hAnsi="Wingdings" w:hint="default"/>
      </w:rPr>
    </w:lvl>
    <w:lvl w:ilvl="3" w:tplc="FCCA7994">
      <w:start w:val="1"/>
      <w:numFmt w:val="bullet"/>
      <w:lvlText w:val=""/>
      <w:lvlJc w:val="left"/>
      <w:pPr>
        <w:ind w:left="2880" w:hanging="360"/>
      </w:pPr>
      <w:rPr>
        <w:rFonts w:ascii="Symbol" w:hAnsi="Symbol" w:hint="default"/>
      </w:rPr>
    </w:lvl>
    <w:lvl w:ilvl="4" w:tplc="7E1EE1C2">
      <w:start w:val="1"/>
      <w:numFmt w:val="bullet"/>
      <w:lvlText w:val="o"/>
      <w:lvlJc w:val="left"/>
      <w:pPr>
        <w:ind w:left="3600" w:hanging="360"/>
      </w:pPr>
      <w:rPr>
        <w:rFonts w:ascii="Courier New" w:hAnsi="Courier New" w:hint="default"/>
      </w:rPr>
    </w:lvl>
    <w:lvl w:ilvl="5" w:tplc="65E68934">
      <w:start w:val="1"/>
      <w:numFmt w:val="bullet"/>
      <w:lvlText w:val=""/>
      <w:lvlJc w:val="left"/>
      <w:pPr>
        <w:ind w:left="4320" w:hanging="360"/>
      </w:pPr>
      <w:rPr>
        <w:rFonts w:ascii="Wingdings" w:hAnsi="Wingdings" w:hint="default"/>
      </w:rPr>
    </w:lvl>
    <w:lvl w:ilvl="6" w:tplc="1B2004AE">
      <w:start w:val="1"/>
      <w:numFmt w:val="bullet"/>
      <w:lvlText w:val=""/>
      <w:lvlJc w:val="left"/>
      <w:pPr>
        <w:ind w:left="5040" w:hanging="360"/>
      </w:pPr>
      <w:rPr>
        <w:rFonts w:ascii="Symbol" w:hAnsi="Symbol" w:hint="default"/>
      </w:rPr>
    </w:lvl>
    <w:lvl w:ilvl="7" w:tplc="EF089258">
      <w:start w:val="1"/>
      <w:numFmt w:val="bullet"/>
      <w:lvlText w:val="o"/>
      <w:lvlJc w:val="left"/>
      <w:pPr>
        <w:ind w:left="5760" w:hanging="360"/>
      </w:pPr>
      <w:rPr>
        <w:rFonts w:ascii="Courier New" w:hAnsi="Courier New" w:hint="default"/>
      </w:rPr>
    </w:lvl>
    <w:lvl w:ilvl="8" w:tplc="E7DA2ECA">
      <w:start w:val="1"/>
      <w:numFmt w:val="bullet"/>
      <w:lvlText w:val=""/>
      <w:lvlJc w:val="left"/>
      <w:pPr>
        <w:ind w:left="6480" w:hanging="360"/>
      </w:pPr>
      <w:rPr>
        <w:rFonts w:ascii="Wingdings" w:hAnsi="Wingdings" w:hint="default"/>
      </w:rPr>
    </w:lvl>
  </w:abstractNum>
  <w:abstractNum w:abstractNumId="9" w15:restartNumberingAfterBreak="0">
    <w:nsid w:val="62D301D6"/>
    <w:multiLevelType w:val="hybridMultilevel"/>
    <w:tmpl w:val="5BC4EBC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ED40C4"/>
    <w:multiLevelType w:val="hybridMultilevel"/>
    <w:tmpl w:val="CE5E685A"/>
    <w:lvl w:ilvl="0" w:tplc="FFFFFFFF">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8"/>
  </w:num>
  <w:num w:numId="6">
    <w:abstractNumId w:val="5"/>
  </w:num>
  <w:num w:numId="7">
    <w:abstractNumId w:val="4"/>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01"/>
    <w:rsid w:val="00057271"/>
    <w:rsid w:val="00090E49"/>
    <w:rsid w:val="000F243C"/>
    <w:rsid w:val="00114ED8"/>
    <w:rsid w:val="001233F8"/>
    <w:rsid w:val="001D127C"/>
    <w:rsid w:val="0025365F"/>
    <w:rsid w:val="002A48A2"/>
    <w:rsid w:val="002C46D8"/>
    <w:rsid w:val="00314558"/>
    <w:rsid w:val="003878DB"/>
    <w:rsid w:val="003A4028"/>
    <w:rsid w:val="00455C9F"/>
    <w:rsid w:val="00461EE5"/>
    <w:rsid w:val="00492001"/>
    <w:rsid w:val="00566776"/>
    <w:rsid w:val="00567AF4"/>
    <w:rsid w:val="005D0F81"/>
    <w:rsid w:val="0061440E"/>
    <w:rsid w:val="00627140"/>
    <w:rsid w:val="006A3956"/>
    <w:rsid w:val="006C6FD7"/>
    <w:rsid w:val="007B1027"/>
    <w:rsid w:val="007B2315"/>
    <w:rsid w:val="007B4411"/>
    <w:rsid w:val="00800963"/>
    <w:rsid w:val="00801A58"/>
    <w:rsid w:val="008218D5"/>
    <w:rsid w:val="0085739F"/>
    <w:rsid w:val="009B2A48"/>
    <w:rsid w:val="009C18CF"/>
    <w:rsid w:val="009D3B89"/>
    <w:rsid w:val="00A079BE"/>
    <w:rsid w:val="00A47B95"/>
    <w:rsid w:val="00A81F27"/>
    <w:rsid w:val="00A852C8"/>
    <w:rsid w:val="00AA16C0"/>
    <w:rsid w:val="00AA5D12"/>
    <w:rsid w:val="00AE3ECF"/>
    <w:rsid w:val="00B03C4E"/>
    <w:rsid w:val="00B449AD"/>
    <w:rsid w:val="00B629F3"/>
    <w:rsid w:val="00B97219"/>
    <w:rsid w:val="00BE5000"/>
    <w:rsid w:val="00BF5F46"/>
    <w:rsid w:val="00C43D8D"/>
    <w:rsid w:val="00C958D2"/>
    <w:rsid w:val="00CE4788"/>
    <w:rsid w:val="00D201D7"/>
    <w:rsid w:val="00D31B46"/>
    <w:rsid w:val="00D54F9B"/>
    <w:rsid w:val="00D83357"/>
    <w:rsid w:val="00D84159"/>
    <w:rsid w:val="00D902E1"/>
    <w:rsid w:val="00E23700"/>
    <w:rsid w:val="00ED7677"/>
    <w:rsid w:val="00EE31AD"/>
    <w:rsid w:val="00F17967"/>
    <w:rsid w:val="00F90AD7"/>
    <w:rsid w:val="02E2847F"/>
    <w:rsid w:val="0445A2BB"/>
    <w:rsid w:val="07BCDB09"/>
    <w:rsid w:val="07F76D42"/>
    <w:rsid w:val="081AD66E"/>
    <w:rsid w:val="09892A7F"/>
    <w:rsid w:val="0A9B6549"/>
    <w:rsid w:val="0C466695"/>
    <w:rsid w:val="0C4ECF5D"/>
    <w:rsid w:val="0C5F5566"/>
    <w:rsid w:val="0CDAB6CB"/>
    <w:rsid w:val="0F430FEB"/>
    <w:rsid w:val="0F9A9042"/>
    <w:rsid w:val="0FEDE892"/>
    <w:rsid w:val="12398E59"/>
    <w:rsid w:val="1282B958"/>
    <w:rsid w:val="15254770"/>
    <w:rsid w:val="15AA7ED6"/>
    <w:rsid w:val="15B83EBB"/>
    <w:rsid w:val="1803AAD2"/>
    <w:rsid w:val="18658680"/>
    <w:rsid w:val="1875BCE8"/>
    <w:rsid w:val="1886135D"/>
    <w:rsid w:val="18F2F4FC"/>
    <w:rsid w:val="1ACF7293"/>
    <w:rsid w:val="1B52A30B"/>
    <w:rsid w:val="1C8427C9"/>
    <w:rsid w:val="220C185C"/>
    <w:rsid w:val="250C8432"/>
    <w:rsid w:val="2623E217"/>
    <w:rsid w:val="2B19BE84"/>
    <w:rsid w:val="2B7A0E93"/>
    <w:rsid w:val="2BB45764"/>
    <w:rsid w:val="2CC1C23A"/>
    <w:rsid w:val="2FD7035D"/>
    <w:rsid w:val="31C17F1F"/>
    <w:rsid w:val="32E4D664"/>
    <w:rsid w:val="340694B8"/>
    <w:rsid w:val="3525A330"/>
    <w:rsid w:val="35ECE2D4"/>
    <w:rsid w:val="37C72699"/>
    <w:rsid w:val="3F4BCBB7"/>
    <w:rsid w:val="3F6EB6C1"/>
    <w:rsid w:val="40984504"/>
    <w:rsid w:val="40BC687B"/>
    <w:rsid w:val="413D24D0"/>
    <w:rsid w:val="441F3572"/>
    <w:rsid w:val="44572A56"/>
    <w:rsid w:val="448E4970"/>
    <w:rsid w:val="45C8B039"/>
    <w:rsid w:val="46E3EE88"/>
    <w:rsid w:val="47C313E0"/>
    <w:rsid w:val="4884AAA3"/>
    <w:rsid w:val="49F24113"/>
    <w:rsid w:val="4B8CCB4A"/>
    <w:rsid w:val="4BF0CFBF"/>
    <w:rsid w:val="4C75AD0B"/>
    <w:rsid w:val="4CBD9278"/>
    <w:rsid w:val="4D966AD0"/>
    <w:rsid w:val="4ED170DA"/>
    <w:rsid w:val="50D856C9"/>
    <w:rsid w:val="51C5A757"/>
    <w:rsid w:val="51F10D28"/>
    <w:rsid w:val="52A3B088"/>
    <w:rsid w:val="53C02F75"/>
    <w:rsid w:val="53F69CC7"/>
    <w:rsid w:val="5544A525"/>
    <w:rsid w:val="56D01FE6"/>
    <w:rsid w:val="57C49715"/>
    <w:rsid w:val="57F96F1C"/>
    <w:rsid w:val="58BEC50A"/>
    <w:rsid w:val="5A45E02E"/>
    <w:rsid w:val="5B60A332"/>
    <w:rsid w:val="5C41FBAE"/>
    <w:rsid w:val="5C4C4A36"/>
    <w:rsid w:val="5FE4D386"/>
    <w:rsid w:val="6354612F"/>
    <w:rsid w:val="63DBF005"/>
    <w:rsid w:val="64076289"/>
    <w:rsid w:val="650F9311"/>
    <w:rsid w:val="659D9353"/>
    <w:rsid w:val="65AEF633"/>
    <w:rsid w:val="664F5C34"/>
    <w:rsid w:val="6C5FE093"/>
    <w:rsid w:val="7068D1E4"/>
    <w:rsid w:val="73ED2D53"/>
    <w:rsid w:val="750D25F6"/>
    <w:rsid w:val="76854737"/>
    <w:rsid w:val="77AADF52"/>
    <w:rsid w:val="78C09CD0"/>
    <w:rsid w:val="79394ABF"/>
    <w:rsid w:val="7B479F64"/>
    <w:rsid w:val="7EB1AF98"/>
    <w:rsid w:val="7EC135F1"/>
    <w:rsid w:val="7FA842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0A92"/>
  <w15:chartTrackingRefBased/>
  <w15:docId w15:val="{7C3582F8-58F0-4B53-88B9-F1611788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01"/>
    <w:rPr>
      <w:lang w:val="en-US"/>
    </w:rPr>
  </w:style>
  <w:style w:type="paragraph" w:styleId="Heading1">
    <w:name w:val="heading 1"/>
    <w:basedOn w:val="Normal"/>
    <w:next w:val="Normal"/>
    <w:link w:val="Heading1Char"/>
    <w:uiPriority w:val="9"/>
    <w:qFormat/>
    <w:rsid w:val="00492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20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20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0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9200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9200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492001"/>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492001"/>
    <w:pPr>
      <w:ind w:left="720"/>
      <w:contextualSpacing/>
    </w:pPr>
  </w:style>
  <w:style w:type="character" w:styleId="Hyperlink">
    <w:name w:val="Hyperlink"/>
    <w:basedOn w:val="DefaultParagraphFont"/>
    <w:uiPriority w:val="99"/>
    <w:unhideWhenUsed/>
    <w:rsid w:val="00492001"/>
    <w:rPr>
      <w:color w:val="0563C1" w:themeColor="hyperlink"/>
      <w:u w:val="single"/>
    </w:rPr>
  </w:style>
  <w:style w:type="paragraph" w:styleId="TOCHeading">
    <w:name w:val="TOC Heading"/>
    <w:basedOn w:val="Heading1"/>
    <w:next w:val="Normal"/>
    <w:uiPriority w:val="39"/>
    <w:unhideWhenUsed/>
    <w:qFormat/>
    <w:rsid w:val="00492001"/>
    <w:pPr>
      <w:outlineLvl w:val="9"/>
    </w:pPr>
  </w:style>
  <w:style w:type="paragraph" w:styleId="TOC1">
    <w:name w:val="toc 1"/>
    <w:basedOn w:val="Normal"/>
    <w:next w:val="Normal"/>
    <w:autoRedefine/>
    <w:uiPriority w:val="39"/>
    <w:unhideWhenUsed/>
    <w:rsid w:val="00492001"/>
    <w:pPr>
      <w:spacing w:after="100"/>
    </w:pPr>
  </w:style>
  <w:style w:type="paragraph" w:styleId="TOC2">
    <w:name w:val="toc 2"/>
    <w:basedOn w:val="Normal"/>
    <w:next w:val="Normal"/>
    <w:autoRedefine/>
    <w:uiPriority w:val="39"/>
    <w:unhideWhenUsed/>
    <w:rsid w:val="00492001"/>
    <w:pPr>
      <w:spacing w:after="100"/>
      <w:ind w:left="220"/>
    </w:pPr>
  </w:style>
  <w:style w:type="paragraph" w:customStyle="1" w:styleId="Default">
    <w:name w:val="Default"/>
    <w:rsid w:val="0049200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9200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92001"/>
  </w:style>
  <w:style w:type="character" w:customStyle="1" w:styleId="spellingerror">
    <w:name w:val="spellingerror"/>
    <w:basedOn w:val="DefaultParagraphFont"/>
    <w:rsid w:val="00492001"/>
  </w:style>
  <w:style w:type="character" w:styleId="CommentReference">
    <w:name w:val="annotation reference"/>
    <w:basedOn w:val="DefaultParagraphFont"/>
    <w:uiPriority w:val="99"/>
    <w:semiHidden/>
    <w:unhideWhenUsed/>
    <w:rsid w:val="00492001"/>
    <w:rPr>
      <w:sz w:val="16"/>
      <w:szCs w:val="16"/>
    </w:rPr>
  </w:style>
  <w:style w:type="paragraph" w:styleId="CommentText">
    <w:name w:val="annotation text"/>
    <w:basedOn w:val="Normal"/>
    <w:link w:val="CommentTextChar"/>
    <w:uiPriority w:val="99"/>
    <w:semiHidden/>
    <w:unhideWhenUsed/>
    <w:rsid w:val="00492001"/>
    <w:pPr>
      <w:spacing w:line="240" w:lineRule="auto"/>
    </w:pPr>
    <w:rPr>
      <w:sz w:val="20"/>
      <w:szCs w:val="20"/>
    </w:rPr>
  </w:style>
  <w:style w:type="character" w:customStyle="1" w:styleId="CommentTextChar">
    <w:name w:val="Comment Text Char"/>
    <w:basedOn w:val="DefaultParagraphFont"/>
    <w:link w:val="CommentText"/>
    <w:uiPriority w:val="99"/>
    <w:semiHidden/>
    <w:rsid w:val="00492001"/>
    <w:rPr>
      <w:sz w:val="20"/>
      <w:szCs w:val="20"/>
      <w:lang w:val="en-US"/>
    </w:rPr>
  </w:style>
  <w:style w:type="paragraph" w:styleId="BalloonText">
    <w:name w:val="Balloon Text"/>
    <w:basedOn w:val="Normal"/>
    <w:link w:val="BalloonTextChar"/>
    <w:uiPriority w:val="99"/>
    <w:semiHidden/>
    <w:unhideWhenUsed/>
    <w:rsid w:val="0049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00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01A58"/>
    <w:rPr>
      <w:b/>
      <w:bCs/>
    </w:rPr>
  </w:style>
  <w:style w:type="character" w:customStyle="1" w:styleId="CommentSubjectChar">
    <w:name w:val="Comment Subject Char"/>
    <w:basedOn w:val="CommentTextChar"/>
    <w:link w:val="CommentSubject"/>
    <w:uiPriority w:val="99"/>
    <w:semiHidden/>
    <w:rsid w:val="00801A5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510">
      <w:bodyDiv w:val="1"/>
      <w:marLeft w:val="0"/>
      <w:marRight w:val="0"/>
      <w:marTop w:val="0"/>
      <w:marBottom w:val="0"/>
      <w:divBdr>
        <w:top w:val="none" w:sz="0" w:space="0" w:color="auto"/>
        <w:left w:val="none" w:sz="0" w:space="0" w:color="auto"/>
        <w:bottom w:val="none" w:sz="0" w:space="0" w:color="auto"/>
        <w:right w:val="none" w:sz="0" w:space="0" w:color="auto"/>
      </w:divBdr>
    </w:div>
    <w:div w:id="415709154">
      <w:bodyDiv w:val="1"/>
      <w:marLeft w:val="0"/>
      <w:marRight w:val="0"/>
      <w:marTop w:val="0"/>
      <w:marBottom w:val="0"/>
      <w:divBdr>
        <w:top w:val="none" w:sz="0" w:space="0" w:color="auto"/>
        <w:left w:val="none" w:sz="0" w:space="0" w:color="auto"/>
        <w:bottom w:val="none" w:sz="0" w:space="0" w:color="auto"/>
        <w:right w:val="none" w:sz="0" w:space="0" w:color="auto"/>
      </w:divBdr>
    </w:div>
    <w:div w:id="1991246918">
      <w:bodyDiv w:val="1"/>
      <w:marLeft w:val="0"/>
      <w:marRight w:val="0"/>
      <w:marTop w:val="0"/>
      <w:marBottom w:val="0"/>
      <w:divBdr>
        <w:top w:val="none" w:sz="0" w:space="0" w:color="auto"/>
        <w:left w:val="none" w:sz="0" w:space="0" w:color="auto"/>
        <w:bottom w:val="none" w:sz="0" w:space="0" w:color="auto"/>
        <w:right w:val="none" w:sz="0" w:space="0" w:color="auto"/>
      </w:divBdr>
    </w:div>
    <w:div w:id="21407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0-02-01-96" TargetMode="External"/><Relationship Id="rId5" Type="http://schemas.openxmlformats.org/officeDocument/2006/relationships/numbering" Target="numbering.xml"/><Relationship Id="rId10" Type="http://schemas.openxmlformats.org/officeDocument/2006/relationships/hyperlink" Target="https://lovdata.no/dokument/SF/forskrift/2010-02-01-96" TargetMode="External"/><Relationship Id="rId4" Type="http://schemas.openxmlformats.org/officeDocument/2006/relationships/customXml" Target="../customXml/item4.xml"/><Relationship Id="rId9" Type="http://schemas.openxmlformats.org/officeDocument/2006/relationships/hyperlink" Target="https://www.nokut.no/siteassets/akkreditering-hu/17-04127-2_sokerveiledning_akkreditering_studietilbud.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CBE907813C484DA8C34296B3BBB074" ma:contentTypeVersion="5" ma:contentTypeDescription="Create a new document." ma:contentTypeScope="" ma:versionID="0a468ecfd3b875a9051f4f94c06704d5">
  <xsd:schema xmlns:xsd="http://www.w3.org/2001/XMLSchema" xmlns:xs="http://www.w3.org/2001/XMLSchema" xmlns:p="http://schemas.microsoft.com/office/2006/metadata/properties" xmlns:ns3="95db212c-7159-469e-9a84-cfa45bbf87a6" xmlns:ns4="4339ffa5-64f1-474b-8089-0459ca48dfc0" targetNamespace="http://schemas.microsoft.com/office/2006/metadata/properties" ma:root="true" ma:fieldsID="746aaa2c6b1ccd0f59842875312ea355" ns3:_="" ns4:_="">
    <xsd:import namespace="95db212c-7159-469e-9a84-cfa45bbf87a6"/>
    <xsd:import namespace="4339ffa5-64f1-474b-8089-0459ca48d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212c-7159-469e-9a84-cfa45bbf87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9ffa5-64f1-474b-8089-0459ca48d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8483-093A-4CBF-A842-0D909F275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4CEB96-712C-4775-A74E-DAAD9D085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212c-7159-469e-9a84-cfa45bbf87a6"/>
    <ds:schemaRef ds:uri="4339ffa5-64f1-474b-8089-0459ca48d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31A39-0C0E-4583-B760-57AF1DEED4C9}">
  <ds:schemaRefs>
    <ds:schemaRef ds:uri="http://schemas.microsoft.com/sharepoint/v3/contenttype/forms"/>
  </ds:schemaRefs>
</ds:datastoreItem>
</file>

<file path=customXml/itemProps4.xml><?xml version="1.0" encoding="utf-8"?>
<ds:datastoreItem xmlns:ds="http://schemas.openxmlformats.org/officeDocument/2006/customXml" ds:itemID="{270E3092-2E99-4948-883C-B94C5EB6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5965</Words>
  <Characters>31617</Characters>
  <Application>Microsoft Office Word</Application>
  <DocSecurity>0</DocSecurity>
  <Lines>263</Lines>
  <Paragraphs>75</Paragraphs>
  <ScaleCrop>false</ScaleCrop>
  <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Gjerdevik</dc:creator>
  <cp:keywords/>
  <dc:description/>
  <cp:lastModifiedBy>Birthe Gjerdevik</cp:lastModifiedBy>
  <cp:revision>2</cp:revision>
  <dcterms:created xsi:type="dcterms:W3CDTF">2020-01-28T13:31:00Z</dcterms:created>
  <dcterms:modified xsi:type="dcterms:W3CDTF">2020-01-28T13:31:00Z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0x010100E3CBE907813C484DA8C34296B3BBB074</vt:lpwstr>
  </property>
</Properties>
</file>